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683F" w14:textId="77777777" w:rsidR="00EB3971" w:rsidRPr="00680D79" w:rsidRDefault="00EB3971" w:rsidP="003356D5">
      <w:pPr>
        <w:jc w:val="center"/>
        <w:rPr>
          <w:b/>
          <w:sz w:val="28"/>
        </w:rPr>
      </w:pPr>
      <w:r w:rsidRPr="00680D79">
        <w:rPr>
          <w:b/>
          <w:sz w:val="28"/>
        </w:rPr>
        <w:t>Ανδρέας Γρ. Κανδαράκης</w:t>
      </w:r>
    </w:p>
    <w:p w14:paraId="117121A4" w14:textId="77777777" w:rsidR="00BB6731" w:rsidRPr="00680D79" w:rsidRDefault="00BB6731" w:rsidP="00825AE8">
      <w:pPr>
        <w:jc w:val="both"/>
        <w:rPr>
          <w:b/>
          <w:sz w:val="28"/>
        </w:rPr>
      </w:pPr>
      <w:r w:rsidRPr="00680D79">
        <w:rPr>
          <w:b/>
          <w:sz w:val="28"/>
        </w:rPr>
        <w:t>ΣΥΝΤΟΜΟ ΒΙΟΓΡΑΦΙΚΟ</w:t>
      </w:r>
      <w:r w:rsidR="00EB3971" w:rsidRPr="00680D79">
        <w:rPr>
          <w:b/>
          <w:sz w:val="28"/>
        </w:rPr>
        <w:t xml:space="preserve"> </w:t>
      </w:r>
    </w:p>
    <w:p w14:paraId="3C2441A8" w14:textId="77777777" w:rsidR="00BB6731" w:rsidRPr="00680D79" w:rsidRDefault="00BB6731" w:rsidP="00825AE8">
      <w:pPr>
        <w:jc w:val="both"/>
      </w:pPr>
      <w:r w:rsidRPr="00680D79">
        <w:t>Ο Ανδρέας Γρ. Κανδαράκ</w:t>
      </w:r>
      <w:r w:rsidR="00CB4290" w:rsidRPr="00680D79">
        <w:t>ης, γεννήθηκε στην Κρήτη</w:t>
      </w:r>
      <w:r w:rsidRPr="00680D79">
        <w:t>.</w:t>
      </w:r>
    </w:p>
    <w:p w14:paraId="55F7A2E5" w14:textId="77777777" w:rsidR="00BB6731" w:rsidRPr="00680D79" w:rsidRDefault="00BB6731" w:rsidP="00825AE8">
      <w:pPr>
        <w:jc w:val="both"/>
      </w:pPr>
      <w:r w:rsidRPr="00680D79">
        <w:t xml:space="preserve">Σπούδασε </w:t>
      </w:r>
      <w:r w:rsidR="00CB4290" w:rsidRPr="00680D79">
        <w:t>6 συνολικά έτη παιδαγωγικά στην Παιδαγωγική Ακαδημία Ηρακλείου</w:t>
      </w:r>
      <w:r w:rsidR="004D1F05" w:rsidRPr="00680D79">
        <w:t xml:space="preserve"> Κρήτης και στο</w:t>
      </w:r>
      <w:r w:rsidR="00CB4290" w:rsidRPr="00680D79">
        <w:t xml:space="preserve"> Παιδαγωγικό Τμήμα Δ.Ε. του</w:t>
      </w:r>
      <w:r w:rsidR="004D1F05" w:rsidRPr="00680D79">
        <w:t xml:space="preserve"> ΕΚΠΑ. </w:t>
      </w:r>
      <w:r w:rsidRPr="00680D79">
        <w:t xml:space="preserve">Ολοκλήρωσε διετή μεταπτυχιακό κύκλο σπουδών στον τομέα της Ειδικής Αγωγής και Ψυχολογίας του Π.Τ.Δ.Ε. του </w:t>
      </w:r>
      <w:r w:rsidR="00CB4290" w:rsidRPr="00680D79">
        <w:t xml:space="preserve">ΕΚΠΑ </w:t>
      </w:r>
      <w:r w:rsidRPr="00680D79">
        <w:t>(1997). Το 2002</w:t>
      </w:r>
      <w:r w:rsidR="00E83C9A" w:rsidRPr="00680D79">
        <w:t>,</w:t>
      </w:r>
      <w:r w:rsidRPr="00680D79">
        <w:t xml:space="preserve"> αναγορεύτηκε διδάκτωρ του</w:t>
      </w:r>
      <w:r w:rsidR="004D1F05" w:rsidRPr="00680D79">
        <w:t xml:space="preserve"> ΕΚΠΑ. Το θέμα της διατριβής του ήταν </w:t>
      </w:r>
      <w:r w:rsidR="004D1F05" w:rsidRPr="00680D79">
        <w:rPr>
          <w:i/>
        </w:rPr>
        <w:t>«Η ενδοπροσωπική και η διαπροσωπική προσαρμογή των μαθητών με χαμηλή σχολική επίδοση και η επίδρασή της στις σχέσεις με τους συμμαθητές»</w:t>
      </w:r>
      <w:r w:rsidRPr="00680D79">
        <w:t>.</w:t>
      </w:r>
    </w:p>
    <w:p w14:paraId="1831155E" w14:textId="7DC31581" w:rsidR="00CB4290" w:rsidRPr="00680D79" w:rsidRDefault="00F7339E" w:rsidP="00825AE8">
      <w:pPr>
        <w:jc w:val="both"/>
      </w:pPr>
      <w:r w:rsidRPr="00680D79">
        <w:t xml:space="preserve">Διδάσκει </w:t>
      </w:r>
      <w:r w:rsidR="00EB3971" w:rsidRPr="00680D79">
        <w:t xml:space="preserve">ως συμβασιούχος, </w:t>
      </w:r>
      <w:r w:rsidR="00BE2EEF" w:rsidRPr="00680D79">
        <w:t>από το 2004</w:t>
      </w:r>
      <w:r w:rsidRPr="00680D79">
        <w:t xml:space="preserve"> </w:t>
      </w:r>
      <w:r w:rsidR="00EB3971" w:rsidRPr="00680D79">
        <w:t>έως και σήμερα,</w:t>
      </w:r>
      <w:r w:rsidRPr="00680D79">
        <w:t xml:space="preserve">  </w:t>
      </w:r>
      <w:r w:rsidR="00EB3971" w:rsidRPr="00680D79">
        <w:t xml:space="preserve">στην </w:t>
      </w:r>
      <w:r w:rsidRPr="00680D79">
        <w:t xml:space="preserve">τριτοβάθμια </w:t>
      </w:r>
      <w:r w:rsidR="00CB4290" w:rsidRPr="00680D79">
        <w:t xml:space="preserve">προπτυχιακή και μεταπτυχιακή </w:t>
      </w:r>
      <w:r w:rsidRPr="00680D79">
        <w:t>εκπαίδευση [</w:t>
      </w:r>
      <w:r w:rsidR="00EB3971" w:rsidRPr="00680D79">
        <w:t xml:space="preserve">Π.Τ.Δ.Ε. του </w:t>
      </w:r>
      <w:r w:rsidR="004C7947" w:rsidRPr="00680D79">
        <w:t>ΕΚΠΑ</w:t>
      </w:r>
      <w:r w:rsidRPr="00680D79">
        <w:t xml:space="preserve">, </w:t>
      </w:r>
      <w:r w:rsidR="00CB4290" w:rsidRPr="00680D79">
        <w:t xml:space="preserve">Μαράσλειο  Διδασκαλείο Δημοτικής Εκπαίδευσης </w:t>
      </w:r>
      <w:r w:rsidR="00EB3971" w:rsidRPr="00680D79">
        <w:t xml:space="preserve">του Π.Τ.Δ.Ε. του </w:t>
      </w:r>
      <w:r w:rsidR="004C7947" w:rsidRPr="00680D79">
        <w:t>ΕΚΠΑ</w:t>
      </w:r>
      <w:r w:rsidR="00CB4290" w:rsidRPr="00680D79">
        <w:t xml:space="preserve">, </w:t>
      </w:r>
      <w:r w:rsidRPr="00680D79">
        <w:t>Σχολή Επιστημών της Αγωγ</w:t>
      </w:r>
      <w:r w:rsidR="004C7947" w:rsidRPr="00680D79">
        <w:t>ής του Πανεπιστημίου  Λευκωσίας</w:t>
      </w:r>
      <w:r w:rsidR="00825AE8">
        <w:t>, στο Μητροπολιτικό Κολλέγιο</w:t>
      </w:r>
      <w:r w:rsidRPr="00680D79">
        <w:t xml:space="preserve"> </w:t>
      </w:r>
      <w:r w:rsidR="00CB4290" w:rsidRPr="00680D79">
        <w:t xml:space="preserve">και </w:t>
      </w:r>
      <w:r w:rsidR="003E3913" w:rsidRPr="00680D79">
        <w:t xml:space="preserve">στη </w:t>
      </w:r>
      <w:r w:rsidR="00CB4290" w:rsidRPr="00680D79">
        <w:t>Σχο</w:t>
      </w:r>
      <w:r w:rsidR="004C7947" w:rsidRPr="00680D79">
        <w:t>λή Πληροφορίας και Πληροφορικής του Τ.Α.Β.Μ. του</w:t>
      </w:r>
      <w:r w:rsidRPr="00680D79">
        <w:t xml:space="preserve"> </w:t>
      </w:r>
      <w:r w:rsidR="004C7947" w:rsidRPr="00680D79">
        <w:t>Ιονίου Πανεπιστημίου</w:t>
      </w:r>
      <w:r w:rsidR="00CB4290" w:rsidRPr="00680D79">
        <w:t xml:space="preserve">]. </w:t>
      </w:r>
    </w:p>
    <w:p w14:paraId="2E0D7963" w14:textId="77777777" w:rsidR="00BE2EEF" w:rsidRPr="00680D79" w:rsidRDefault="00680D79" w:rsidP="00825AE8">
      <w:pPr>
        <w:jc w:val="both"/>
      </w:pPr>
      <w:r w:rsidRPr="00680D79">
        <w:t xml:space="preserve">Κατά το ακαδημαϊκό έτος 2018-2019 ήταν ακαδημαϊκός συντονιστής και διδάσκων στο εξ αποστάσεως εκπαιδευτικό σεμινάριο «Καινοτόμες Εκπαιδευτικές Δράσεις και Δεξιότητες Αξιολόγησης της Πληροφορίας στο Διαδίκτυο στην  Α/θμια Εκπαίδευση», που διοργάνωναν το Τ.Α.Β.Μ. (Σχολή Επιστήμης Πληροφορίας &amp; Πληροφορικής) σε συνεργασία με την Ανώτατη Σχολή Παιδαγωγικής και Τεχνολογικής Εκπαίδευσης (ΑΣΠΑΙΤΕ). </w:t>
      </w:r>
    </w:p>
    <w:p w14:paraId="6FA4E0F5" w14:textId="77777777" w:rsidR="00F7339E" w:rsidRPr="00613BC1" w:rsidRDefault="004C7947" w:rsidP="00825AE8">
      <w:pPr>
        <w:jc w:val="both"/>
      </w:pPr>
      <w:r w:rsidRPr="00680D79">
        <w:t>Υπηρετεί</w:t>
      </w:r>
      <w:r w:rsidR="00CB4290" w:rsidRPr="00680D79">
        <w:t xml:space="preserve"> από το 1989 </w:t>
      </w:r>
      <w:r w:rsidR="00613BC1">
        <w:t xml:space="preserve">έως και σήμερα </w:t>
      </w:r>
      <w:r w:rsidR="00CB4290" w:rsidRPr="00680D79">
        <w:t>στην πρωτοβάθμια εκπαίδευση.</w:t>
      </w:r>
      <w:r w:rsidR="00613BC1" w:rsidRPr="00613BC1">
        <w:t xml:space="preserve"> </w:t>
      </w:r>
    </w:p>
    <w:p w14:paraId="235708AC" w14:textId="77777777" w:rsidR="00CB4290" w:rsidRPr="00680D79" w:rsidRDefault="00BB6731" w:rsidP="00825AE8">
      <w:pPr>
        <w:jc w:val="both"/>
      </w:pPr>
      <w:r w:rsidRPr="00680D79">
        <w:t>Ασκεί</w:t>
      </w:r>
      <w:r w:rsidR="00CB4290" w:rsidRPr="00680D79">
        <w:t xml:space="preserve"> ιδιωτικά</w:t>
      </w:r>
      <w:r w:rsidR="00AC4EE5" w:rsidRPr="00680D79">
        <w:t xml:space="preserve"> και ν</w:t>
      </w:r>
      <w:r w:rsidR="00881445" w:rsidRPr="00680D79">
        <w:t>όμι</w:t>
      </w:r>
      <w:r w:rsidR="00AC4EE5" w:rsidRPr="00680D79">
        <w:t>μα,</w:t>
      </w:r>
      <w:r w:rsidR="00CB4290" w:rsidRPr="00680D79">
        <w:t xml:space="preserve"> από το 2002</w:t>
      </w:r>
      <w:r w:rsidR="00AC4EE5" w:rsidRPr="00680D79">
        <w:t xml:space="preserve"> έως και σήμερα,</w:t>
      </w:r>
      <w:r w:rsidRPr="00680D79">
        <w:t xml:space="preserve"> το επάγγελμα του ψυχοπαιδαγωγού </w:t>
      </w:r>
      <w:r w:rsidR="00EB3971" w:rsidRPr="00680D79">
        <w:t xml:space="preserve">με ειδίκευση στην ειδική αγωγή </w:t>
      </w:r>
      <w:r w:rsidR="00F7339E" w:rsidRPr="00680D79">
        <w:t>(</w:t>
      </w:r>
      <w:r w:rsidR="00CB4290" w:rsidRPr="00680D79">
        <w:t xml:space="preserve">έγκαιρος εντοπισμός, </w:t>
      </w:r>
      <w:r w:rsidR="00F7339E" w:rsidRPr="00680D79">
        <w:t>διάγν</w:t>
      </w:r>
      <w:r w:rsidR="00CB4290" w:rsidRPr="00680D79">
        <w:t>ωση και αντιμετώπιση δυσκολιών</w:t>
      </w:r>
      <w:r w:rsidR="00F7339E" w:rsidRPr="00680D79">
        <w:t xml:space="preserve"> μάθησης και</w:t>
      </w:r>
      <w:r w:rsidR="00CB4290" w:rsidRPr="00680D79">
        <w:t xml:space="preserve"> προβλημάτων </w:t>
      </w:r>
      <w:r w:rsidR="00F7339E" w:rsidRPr="00680D79">
        <w:t xml:space="preserve"> συμπεριφοράς παιδιών κι εφήβων, συμβουλευτική γονέων). </w:t>
      </w:r>
    </w:p>
    <w:p w14:paraId="5CF47717" w14:textId="77777777" w:rsidR="00BB6731" w:rsidRPr="00680D79" w:rsidRDefault="00BB6731" w:rsidP="00825AE8">
      <w:pPr>
        <w:jc w:val="both"/>
      </w:pPr>
      <w:r w:rsidRPr="00680D79">
        <w:t>Έχει συγγρ</w:t>
      </w:r>
      <w:r w:rsidR="001039D1" w:rsidRPr="00680D79">
        <w:t>αφική και ερευνητική παρουσία στην</w:t>
      </w:r>
      <w:r w:rsidRPr="00680D79">
        <w:t xml:space="preserve"> Ελλάδα και </w:t>
      </w:r>
      <w:r w:rsidR="001039D1" w:rsidRPr="00680D79">
        <w:t xml:space="preserve">στο </w:t>
      </w:r>
      <w:r w:rsidRPr="00680D79">
        <w:t>εξωτερικό.</w:t>
      </w:r>
    </w:p>
    <w:p w14:paraId="29898792" w14:textId="77777777" w:rsidR="00F50EAF" w:rsidRDefault="00F50EAF" w:rsidP="007C5487"/>
    <w:p w14:paraId="1C22BA31" w14:textId="77777777" w:rsidR="00F50EAF" w:rsidRDefault="00F50EAF" w:rsidP="007C5487"/>
    <w:p w14:paraId="7B4DAE95" w14:textId="77777777" w:rsidR="00F50EAF" w:rsidRDefault="00F50EAF" w:rsidP="007C5487"/>
    <w:p w14:paraId="6E2F8097" w14:textId="77777777" w:rsidR="00F50EAF" w:rsidRDefault="00F50EAF" w:rsidP="007C5487"/>
    <w:p w14:paraId="2F650170" w14:textId="77777777" w:rsidR="00F50EAF" w:rsidRDefault="00F50EAF" w:rsidP="007C5487"/>
    <w:p w14:paraId="50F504C5" w14:textId="77777777" w:rsidR="00F50EAF" w:rsidRDefault="00F50EAF" w:rsidP="007C5487">
      <w:r>
        <w:t>Ενδεικτική βιβλιογραφία:</w:t>
      </w:r>
    </w:p>
    <w:p w14:paraId="62C4E6A9" w14:textId="77777777" w:rsidR="00B920C9" w:rsidRDefault="00B920C9" w:rsidP="007C5487">
      <w:pPr>
        <w:jc w:val="both"/>
      </w:pPr>
      <w:r>
        <w:t xml:space="preserve">Κανδαράκης, Α. Γ. (2004). Συνυπάρχουν οι μαθησιακές δυσκολίες με τα προβλήματα συμπεριφοράς; Αθήνα, Σαββάλας. </w:t>
      </w:r>
    </w:p>
    <w:p w14:paraId="36D1CD38" w14:textId="77777777" w:rsidR="00B920C9" w:rsidRDefault="00B920C9" w:rsidP="007C5487">
      <w:pPr>
        <w:jc w:val="both"/>
      </w:pPr>
      <w:r>
        <w:t xml:space="preserve">Κανδαράκης, Α. Γ. (2007). Ιδιοσυγκρασία και σχολική προσαρμογή, Αθήνα, Gutenberg. </w:t>
      </w:r>
    </w:p>
    <w:p w14:paraId="29BA9F6F" w14:textId="77777777" w:rsidR="00B920C9" w:rsidRPr="00825AE8" w:rsidRDefault="00B920C9" w:rsidP="007C5487">
      <w:pPr>
        <w:jc w:val="both"/>
        <w:rPr>
          <w:lang w:val="en-US"/>
        </w:rPr>
      </w:pPr>
      <w:r w:rsidRPr="00B920C9">
        <w:rPr>
          <w:lang w:val="en-US"/>
        </w:rPr>
        <w:lastRenderedPageBreak/>
        <w:t xml:space="preserve">Kandarakis, A. G., Poulos, M. S. (2008). Teaching Implications of Information –Processing Theory and Evaluation Approach of Learning Strategies using LVQ Neural Network. </w:t>
      </w:r>
      <w:r w:rsidRPr="00F50EAF">
        <w:rPr>
          <w:i/>
          <w:lang w:val="en-US"/>
        </w:rPr>
        <w:t xml:space="preserve">WSEAS, Transactions on Advances in Engineering Education, 3, 5, </w:t>
      </w:r>
      <w:r w:rsidRPr="00B920C9">
        <w:rPr>
          <w:lang w:val="en-US"/>
        </w:rPr>
        <w:t xml:space="preserve">111-119. </w:t>
      </w:r>
    </w:p>
    <w:p w14:paraId="778320BD" w14:textId="77777777" w:rsidR="00B920C9" w:rsidRDefault="00B920C9" w:rsidP="007C5487">
      <w:pPr>
        <w:jc w:val="both"/>
      </w:pPr>
      <w:r>
        <w:t>Κανδαράκης</w:t>
      </w:r>
      <w:r w:rsidRPr="00825AE8">
        <w:rPr>
          <w:lang w:val="en-US"/>
        </w:rPr>
        <w:t xml:space="preserve">, </w:t>
      </w:r>
      <w:r>
        <w:t>Α</w:t>
      </w:r>
      <w:r w:rsidRPr="00825AE8">
        <w:rPr>
          <w:lang w:val="en-US"/>
        </w:rPr>
        <w:t xml:space="preserve">. </w:t>
      </w:r>
      <w:r>
        <w:t>Γ</w:t>
      </w:r>
      <w:r w:rsidRPr="00825AE8">
        <w:rPr>
          <w:lang w:val="en-US"/>
        </w:rPr>
        <w:t xml:space="preserve">. (2010). </w:t>
      </w:r>
      <w:r>
        <w:t xml:space="preserve">Ψυχοπαιδαγωγική αξιολόγηση προβλημάτων συμπεριφοράς παιδιών και εφήβων. </w:t>
      </w:r>
      <w:r w:rsidRPr="00F50EAF">
        <w:rPr>
          <w:i/>
        </w:rPr>
        <w:t>Παιδαγωγική Επιθεώρηση, 49, 7-22,</w:t>
      </w:r>
      <w:r>
        <w:t xml:space="preserve"> Ατραπός.</w:t>
      </w:r>
    </w:p>
    <w:p w14:paraId="7C8BF46F" w14:textId="77777777" w:rsidR="00B920C9" w:rsidRPr="00825AE8" w:rsidRDefault="00B920C9" w:rsidP="007C5487">
      <w:pPr>
        <w:jc w:val="both"/>
      </w:pPr>
      <w:r w:rsidRPr="00B920C9">
        <w:rPr>
          <w:lang w:val="en-US"/>
        </w:rPr>
        <w:t xml:space="preserve">Poulos, M.S, Kandarakis, </w:t>
      </w:r>
      <w:proofErr w:type="spellStart"/>
      <w:r w:rsidRPr="00B920C9">
        <w:rPr>
          <w:lang w:val="en-US"/>
        </w:rPr>
        <w:t>A.Gr</w:t>
      </w:r>
      <w:proofErr w:type="spellEnd"/>
      <w:r w:rsidRPr="00B920C9">
        <w:rPr>
          <w:lang w:val="en-US"/>
        </w:rPr>
        <w:t xml:space="preserve">., </w:t>
      </w:r>
      <w:proofErr w:type="spellStart"/>
      <w:proofErr w:type="gramStart"/>
      <w:r w:rsidRPr="00B920C9">
        <w:rPr>
          <w:lang w:val="en-US"/>
        </w:rPr>
        <w:t>Tsinarelis</w:t>
      </w:r>
      <w:proofErr w:type="spellEnd"/>
      <w:r w:rsidRPr="00B920C9">
        <w:rPr>
          <w:lang w:val="en-US"/>
        </w:rPr>
        <w:t xml:space="preserve"> ,</w:t>
      </w:r>
      <w:proofErr w:type="gramEnd"/>
      <w:r w:rsidRPr="00B920C9">
        <w:rPr>
          <w:lang w:val="en-US"/>
        </w:rPr>
        <w:t xml:space="preserve"> G.S. (2012). An automatic evaluation system of the results of the thought-operated computer system "Play attention" Using neural network technique. </w:t>
      </w:r>
      <w:r w:rsidRPr="00F50EAF">
        <w:rPr>
          <w:i/>
          <w:lang w:val="en-US"/>
        </w:rPr>
        <w:t>WSEAS</w:t>
      </w:r>
      <w:r w:rsidRPr="00825AE8">
        <w:rPr>
          <w:i/>
        </w:rPr>
        <w:t xml:space="preserve">, </w:t>
      </w:r>
      <w:r w:rsidRPr="00F50EAF">
        <w:rPr>
          <w:i/>
          <w:lang w:val="en-US"/>
        </w:rPr>
        <w:t>Transactions</w:t>
      </w:r>
      <w:r w:rsidRPr="00825AE8">
        <w:rPr>
          <w:i/>
        </w:rPr>
        <w:t xml:space="preserve"> </w:t>
      </w:r>
      <w:r w:rsidRPr="00F50EAF">
        <w:rPr>
          <w:i/>
          <w:lang w:val="en-US"/>
        </w:rPr>
        <w:t>on</w:t>
      </w:r>
      <w:r w:rsidRPr="00825AE8">
        <w:rPr>
          <w:i/>
        </w:rPr>
        <w:t xml:space="preserve"> </w:t>
      </w:r>
      <w:r w:rsidRPr="00F50EAF">
        <w:rPr>
          <w:i/>
          <w:lang w:val="en-US"/>
        </w:rPr>
        <w:t>Advances</w:t>
      </w:r>
      <w:r w:rsidRPr="00825AE8">
        <w:rPr>
          <w:i/>
        </w:rPr>
        <w:t xml:space="preserve"> </w:t>
      </w:r>
      <w:r w:rsidRPr="00F50EAF">
        <w:rPr>
          <w:i/>
          <w:lang w:val="en-US"/>
        </w:rPr>
        <w:t>in</w:t>
      </w:r>
      <w:r w:rsidRPr="00825AE8">
        <w:rPr>
          <w:i/>
        </w:rPr>
        <w:t xml:space="preserve"> </w:t>
      </w:r>
      <w:r w:rsidRPr="00F50EAF">
        <w:rPr>
          <w:i/>
          <w:lang w:val="en-US"/>
        </w:rPr>
        <w:t>Engineering</w:t>
      </w:r>
      <w:r w:rsidRPr="00825AE8">
        <w:rPr>
          <w:i/>
        </w:rPr>
        <w:t xml:space="preserve"> </w:t>
      </w:r>
      <w:r w:rsidRPr="00F50EAF">
        <w:rPr>
          <w:i/>
          <w:lang w:val="en-US"/>
        </w:rPr>
        <w:t>Education</w:t>
      </w:r>
      <w:r w:rsidRPr="00825AE8">
        <w:rPr>
          <w:i/>
        </w:rPr>
        <w:t>,</w:t>
      </w:r>
      <w:r w:rsidRPr="00825AE8">
        <w:t>207-211.</w:t>
      </w:r>
    </w:p>
    <w:p w14:paraId="202D373E" w14:textId="77777777" w:rsidR="00F50EAF" w:rsidRPr="00F50EAF" w:rsidRDefault="00F50EAF" w:rsidP="007C54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48"/>
          <w:lang w:eastAsia="el-GR"/>
        </w:rPr>
      </w:pP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Κανδαράκης</w:t>
      </w:r>
      <w:r w:rsidRPr="00EE1DC9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="00EE1DC9"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Ανδρέας </w:t>
      </w:r>
      <w:proofErr w:type="spellStart"/>
      <w:r w:rsidR="00EE1DC9" w:rsidRPr="00F50EAF">
        <w:rPr>
          <w:rFonts w:ascii="Calibri" w:eastAsia="Times New Roman" w:hAnsi="Calibri" w:cs="Calibri"/>
          <w:color w:val="000000"/>
          <w:szCs w:val="48"/>
          <w:lang w:eastAsia="el-GR"/>
        </w:rPr>
        <w:t>Γρ</w:t>
      </w:r>
      <w:proofErr w:type="spellEnd"/>
      <w:r w:rsidR="00EE1DC9" w:rsidRPr="00F50EAF">
        <w:rPr>
          <w:rFonts w:ascii="Calibri" w:eastAsia="Times New Roman" w:hAnsi="Calibri" w:cs="Calibri"/>
          <w:color w:val="000000"/>
          <w:szCs w:val="48"/>
          <w:lang w:eastAsia="el-GR"/>
        </w:rPr>
        <w:t>.</w:t>
      </w:r>
      <w:r w:rsidR="00EE1DC9">
        <w:rPr>
          <w:rFonts w:ascii="Calibri" w:eastAsia="Times New Roman" w:hAnsi="Calibri" w:cs="Calibri"/>
          <w:color w:val="000000"/>
          <w:szCs w:val="48"/>
          <w:lang w:eastAsia="el-GR"/>
        </w:rPr>
        <w:t>(2019).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Ανάπτυξη Μεταγνωστικών Δεξιοτήτων Μάθησης σε μαθητές </w:t>
      </w:r>
      <w:r w:rsidRPr="00EE1DC9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με Μαθησιακές Δυσκολίες ή/και ΔΕΠ</w:t>
      </w:r>
      <w:r w:rsidRPr="00F50EAF">
        <w:rPr>
          <w:rFonts w:ascii="Calibri" w:eastAsia="Times New Roman" w:hAnsi="Calibri" w:cs="Calibri"/>
          <w:color w:val="000000"/>
          <w:spacing w:val="2"/>
          <w:lang w:eastAsia="el-GR"/>
        </w:rPr>
        <w:t>-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Υ μέσα από τη χρήση Φορητών </w:t>
      </w:r>
    </w:p>
    <w:p w14:paraId="01AD152D" w14:textId="77777777" w:rsidR="00F50EAF" w:rsidRPr="00F50EAF" w:rsidRDefault="00F50EAF" w:rsidP="007C5487">
      <w:pPr>
        <w:shd w:val="clear" w:color="auto" w:fill="FFFFFF"/>
        <w:jc w:val="both"/>
        <w:rPr>
          <w:rFonts w:ascii="Calibri" w:eastAsia="Times New Roman" w:hAnsi="Calibri" w:cs="Calibri"/>
          <w:color w:val="000000"/>
          <w:szCs w:val="48"/>
          <w:lang w:eastAsia="el-GR"/>
        </w:rPr>
      </w:pP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Υπολογιστικών Μηχανών στην </w:t>
      </w:r>
      <w:proofErr w:type="spellStart"/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Εκπ</w:t>
      </w:r>
      <w:proofErr w:type="spellEnd"/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/</w:t>
      </w:r>
      <w:proofErr w:type="spellStart"/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ση</w:t>
      </w:r>
      <w:proofErr w:type="spellEnd"/>
      <w:r w:rsidR="00EE1DC9">
        <w:rPr>
          <w:rFonts w:ascii="Calibri" w:eastAsia="Times New Roman" w:hAnsi="Calibri" w:cs="Calibri"/>
          <w:color w:val="000000"/>
          <w:szCs w:val="48"/>
          <w:lang w:eastAsia="el-GR"/>
        </w:rPr>
        <w:t xml:space="preserve">. </w:t>
      </w:r>
      <w:r w:rsidR="00EE1DC9" w:rsidRPr="007C5487">
        <w:rPr>
          <w:rFonts w:ascii="Calibri" w:eastAsia="Times New Roman" w:hAnsi="Calibri" w:cs="Calibri"/>
          <w:i/>
          <w:color w:val="000000"/>
          <w:szCs w:val="48"/>
          <w:lang w:eastAsia="el-GR"/>
        </w:rPr>
        <w:t xml:space="preserve">Πρακτικά του </w:t>
      </w:r>
      <w:r w:rsidRPr="007C5487">
        <w:rPr>
          <w:rFonts w:ascii="Calibri" w:eastAsia="Times New Roman" w:hAnsi="Calibri" w:cs="Calibri"/>
          <w:i/>
          <w:color w:val="000000"/>
          <w:szCs w:val="48"/>
          <w:lang w:eastAsia="el-GR"/>
        </w:rPr>
        <w:t xml:space="preserve"> </w:t>
      </w:r>
      <w:r w:rsidRPr="007C5487">
        <w:rPr>
          <w:rFonts w:ascii="Calibri" w:hAnsi="Calibri" w:cs="Calibri"/>
          <w:i/>
          <w:color w:val="000000"/>
          <w:szCs w:val="40"/>
          <w:shd w:val="clear" w:color="auto" w:fill="FFFFFF"/>
        </w:rPr>
        <w:t>4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  <w:vertAlign w:val="superscript"/>
        </w:rPr>
        <w:t>ο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  <w:vertAlign w:val="superscript"/>
        </w:rPr>
        <w:t>υ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 xml:space="preserve"> 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 xml:space="preserve"> Πανελλήνιο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υ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 xml:space="preserve"> Συν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ε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δρ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ί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ο</w:t>
      </w:r>
      <w:r w:rsidR="00EE1DC9"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υ</w:t>
      </w:r>
      <w:r w:rsid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 xml:space="preserve"> 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«</w:t>
      </w:r>
      <w:r w:rsidRPr="007C5487">
        <w:rPr>
          <w:rStyle w:val="ff3"/>
          <w:rFonts w:ascii="Calibri" w:hAnsi="Calibri" w:cs="Calibri"/>
          <w:i/>
          <w:color w:val="000000"/>
          <w:szCs w:val="40"/>
          <w:shd w:val="clear" w:color="auto" w:fill="FFFFFF"/>
        </w:rPr>
        <w:t>Εκπαίδευση στον 21ο αιώνα:</w:t>
      </w:r>
      <w:r w:rsidRPr="007C5487">
        <w:rPr>
          <w:rStyle w:val="ff4"/>
          <w:rFonts w:ascii="Calibri" w:hAnsi="Calibri" w:cs="Calibri"/>
          <w:i/>
          <w:color w:val="000000"/>
          <w:spacing w:val="1"/>
          <w:szCs w:val="40"/>
          <w:shd w:val="clear" w:color="auto" w:fill="FFFFFF"/>
        </w:rPr>
        <w:t xml:space="preserve"> </w:t>
      </w:r>
      <w:r w:rsidRPr="007C5487">
        <w:rPr>
          <w:rStyle w:val="ff3"/>
          <w:rFonts w:ascii="Calibri" w:hAnsi="Calibri" w:cs="Calibri"/>
          <w:i/>
          <w:color w:val="000000"/>
          <w:szCs w:val="40"/>
          <w:shd w:val="clear" w:color="auto" w:fill="FFFFFF"/>
        </w:rPr>
        <w:t>Σχολείο και Πολιτισμός</w:t>
      </w:r>
      <w:r w:rsidRPr="007C5487">
        <w:rPr>
          <w:rStyle w:val="ff2"/>
          <w:rFonts w:ascii="Calibri" w:hAnsi="Calibri" w:cs="Calibri"/>
          <w:i/>
          <w:color w:val="000000"/>
          <w:szCs w:val="40"/>
          <w:shd w:val="clear" w:color="auto" w:fill="FFFFFF"/>
        </w:rPr>
        <w:t>»</w:t>
      </w:r>
      <w:r w:rsidR="007C5487">
        <w:rPr>
          <w:rStyle w:val="ff2"/>
          <w:rFonts w:ascii="Calibri" w:hAnsi="Calibri" w:cs="Calibri"/>
          <w:color w:val="000000"/>
          <w:szCs w:val="40"/>
          <w:shd w:val="clear" w:color="auto" w:fill="FFFFFF"/>
        </w:rPr>
        <w:t xml:space="preserve"> τόμος Β΄(σελ. 168-177)</w:t>
      </w:r>
      <w:r w:rsidR="007C5487">
        <w:rPr>
          <w:rFonts w:ascii="ff2" w:hAnsi="ff2"/>
          <w:color w:val="000000"/>
          <w:sz w:val="48"/>
          <w:szCs w:val="48"/>
        </w:rPr>
        <w:t xml:space="preserve">. </w:t>
      </w:r>
      <w:r w:rsidR="007C5487" w:rsidRPr="00F50EAF">
        <w:rPr>
          <w:rFonts w:ascii="Calibri" w:eastAsia="Times New Roman" w:hAnsi="Calibri" w:cs="Calibri"/>
          <w:color w:val="000000"/>
          <w:szCs w:val="48"/>
          <w:lang w:eastAsia="el-GR"/>
        </w:rPr>
        <w:t>Κολλέγιο Αθηνών</w:t>
      </w:r>
      <w:r w:rsidR="007C5487">
        <w:rPr>
          <w:rFonts w:ascii="Calibri" w:eastAsia="Times New Roman" w:hAnsi="Calibri" w:cs="Calibri"/>
          <w:color w:val="000000"/>
          <w:szCs w:val="48"/>
          <w:lang w:eastAsia="el-GR"/>
        </w:rPr>
        <w:t xml:space="preserve">: </w:t>
      </w:r>
      <w:r w:rsidR="007C5487" w:rsidRPr="00F50EAF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Μουσείο Σχολικής Ζωής και Εκπαίδευσης του ΕΚΕΔΙΣΥ</w:t>
      </w:r>
      <w:r w:rsidR="007C5487">
        <w:rPr>
          <w:rFonts w:ascii="Calibri" w:eastAsia="Times New Roman" w:hAnsi="Calibri" w:cs="Calibri"/>
          <w:color w:val="000000"/>
          <w:szCs w:val="48"/>
          <w:lang w:eastAsia="el-GR"/>
        </w:rPr>
        <w:t>,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 </w:t>
      </w:r>
      <w:r w:rsidRPr="00F50EAF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>Παιδαγωγική Εταιρεία Ελλάδος</w:t>
      </w:r>
      <w:r w:rsidR="007C5487">
        <w:rPr>
          <w:rFonts w:ascii="Calibri" w:eastAsia="Times New Roman" w:hAnsi="Calibri" w:cs="Calibri"/>
          <w:color w:val="000000"/>
          <w:szCs w:val="48"/>
          <w:lang w:eastAsia="el-GR"/>
        </w:rPr>
        <w:t>.</w:t>
      </w:r>
      <w:r w:rsidRPr="00F50EAF">
        <w:rPr>
          <w:rFonts w:ascii="Calibri" w:eastAsia="Times New Roman" w:hAnsi="Calibri" w:cs="Calibri"/>
          <w:color w:val="000000"/>
          <w:szCs w:val="48"/>
          <w:lang w:eastAsia="el-GR"/>
        </w:rPr>
        <w:t xml:space="preserve"> </w:t>
      </w:r>
      <w:r w:rsidRPr="00F50EAF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14:paraId="6812160B" w14:textId="77777777" w:rsidR="00B920C9" w:rsidRDefault="00B920C9" w:rsidP="007C5487">
      <w:pPr>
        <w:shd w:val="clear" w:color="auto" w:fill="FFFFFF"/>
        <w:spacing w:after="0" w:line="240" w:lineRule="auto"/>
        <w:jc w:val="both"/>
      </w:pPr>
    </w:p>
    <w:p w14:paraId="18E494C5" w14:textId="77777777" w:rsidR="00B920C9" w:rsidRDefault="00B920C9" w:rsidP="003356D5">
      <w:pPr>
        <w:jc w:val="both"/>
      </w:pPr>
    </w:p>
    <w:p w14:paraId="142BFBD9" w14:textId="77777777" w:rsidR="00E83C9A" w:rsidRDefault="00E83C9A" w:rsidP="003356D5">
      <w:pPr>
        <w:jc w:val="both"/>
        <w:rPr>
          <w:sz w:val="32"/>
          <w:szCs w:val="32"/>
        </w:rPr>
      </w:pPr>
    </w:p>
    <w:p w14:paraId="766962BC" w14:textId="77777777" w:rsidR="00E83C9A" w:rsidRDefault="00E83C9A" w:rsidP="003356D5">
      <w:pPr>
        <w:jc w:val="both"/>
        <w:rPr>
          <w:sz w:val="32"/>
          <w:szCs w:val="32"/>
        </w:rPr>
      </w:pPr>
    </w:p>
    <w:p w14:paraId="43FDBB43" w14:textId="77777777" w:rsidR="00E83C9A" w:rsidRPr="003356D5" w:rsidRDefault="00E83C9A" w:rsidP="003356D5">
      <w:pPr>
        <w:jc w:val="both"/>
        <w:rPr>
          <w:sz w:val="32"/>
          <w:szCs w:val="32"/>
        </w:rPr>
      </w:pPr>
    </w:p>
    <w:p w14:paraId="7805C1A4" w14:textId="77777777" w:rsidR="00D77D94" w:rsidRPr="003356D5" w:rsidRDefault="00D77D94" w:rsidP="003356D5">
      <w:pPr>
        <w:jc w:val="both"/>
        <w:rPr>
          <w:sz w:val="32"/>
          <w:szCs w:val="32"/>
        </w:rPr>
      </w:pPr>
    </w:p>
    <w:sectPr w:rsidR="00D77D94" w:rsidRPr="003356D5" w:rsidSect="00215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31"/>
    <w:rsid w:val="000135CF"/>
    <w:rsid w:val="000768EC"/>
    <w:rsid w:val="000D26AD"/>
    <w:rsid w:val="001039D1"/>
    <w:rsid w:val="00146B1B"/>
    <w:rsid w:val="00177B23"/>
    <w:rsid w:val="001A1525"/>
    <w:rsid w:val="001E2E6B"/>
    <w:rsid w:val="00215071"/>
    <w:rsid w:val="003356D5"/>
    <w:rsid w:val="003E3913"/>
    <w:rsid w:val="00440D46"/>
    <w:rsid w:val="00494091"/>
    <w:rsid w:val="004C050B"/>
    <w:rsid w:val="004C7947"/>
    <w:rsid w:val="004D1F05"/>
    <w:rsid w:val="004E773D"/>
    <w:rsid w:val="00613BC1"/>
    <w:rsid w:val="00632B5C"/>
    <w:rsid w:val="006554D4"/>
    <w:rsid w:val="00680D79"/>
    <w:rsid w:val="006F0B55"/>
    <w:rsid w:val="00702369"/>
    <w:rsid w:val="007C5487"/>
    <w:rsid w:val="00804BAC"/>
    <w:rsid w:val="00825AE8"/>
    <w:rsid w:val="008359EB"/>
    <w:rsid w:val="00881445"/>
    <w:rsid w:val="00A4014D"/>
    <w:rsid w:val="00AC4EE5"/>
    <w:rsid w:val="00AC7BF9"/>
    <w:rsid w:val="00B6009C"/>
    <w:rsid w:val="00B920C9"/>
    <w:rsid w:val="00BB6731"/>
    <w:rsid w:val="00BD5368"/>
    <w:rsid w:val="00BE2EEF"/>
    <w:rsid w:val="00CB4290"/>
    <w:rsid w:val="00D77D94"/>
    <w:rsid w:val="00DE5171"/>
    <w:rsid w:val="00E83C9A"/>
    <w:rsid w:val="00EB3971"/>
    <w:rsid w:val="00ED35FF"/>
    <w:rsid w:val="00EE1DC9"/>
    <w:rsid w:val="00F32867"/>
    <w:rsid w:val="00F50EAF"/>
    <w:rsid w:val="00F62FF4"/>
    <w:rsid w:val="00F7339E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8794"/>
  <w15:docId w15:val="{64EADC1E-219B-4193-B131-830F68AC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a">
    <w:name w:val="ffa"/>
    <w:basedOn w:val="a0"/>
    <w:rsid w:val="00F50EAF"/>
  </w:style>
  <w:style w:type="character" w:customStyle="1" w:styleId="ff4">
    <w:name w:val="ff4"/>
    <w:basedOn w:val="a0"/>
    <w:rsid w:val="00F50EAF"/>
  </w:style>
  <w:style w:type="character" w:customStyle="1" w:styleId="ff2">
    <w:name w:val="ff2"/>
    <w:basedOn w:val="a0"/>
    <w:rsid w:val="00F50EAF"/>
  </w:style>
  <w:style w:type="character" w:customStyle="1" w:styleId="ff3">
    <w:name w:val="ff3"/>
    <w:basedOn w:val="a0"/>
    <w:rsid w:val="00F50EAF"/>
  </w:style>
  <w:style w:type="character" w:customStyle="1" w:styleId="ff1">
    <w:name w:val="ff1"/>
    <w:basedOn w:val="a0"/>
    <w:rsid w:val="00F5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Andreas Kandarakis</cp:lastModifiedBy>
  <cp:revision>3</cp:revision>
  <cp:lastPrinted>2020-01-04T18:17:00Z</cp:lastPrinted>
  <dcterms:created xsi:type="dcterms:W3CDTF">2020-06-25T18:06:00Z</dcterms:created>
  <dcterms:modified xsi:type="dcterms:W3CDTF">2021-09-29T18:44:00Z</dcterms:modified>
</cp:coreProperties>
</file>