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0"/>
      </w:tblGrid>
      <w:tr w:rsidR="00922324" w:rsidRPr="0008325D" w14:paraId="7B174D55" w14:textId="77777777">
        <w:tc>
          <w:tcPr>
            <w:tcW w:w="8590" w:type="dxa"/>
          </w:tcPr>
          <w:tbl>
            <w:tblPr>
              <w:tblW w:w="8476" w:type="dxa"/>
              <w:tblInd w:w="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6"/>
            </w:tblGrid>
            <w:tr w:rsidR="00922324" w:rsidRPr="000F56DF" w14:paraId="66EE0870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441B508D" w14:textId="77777777" w:rsidR="00922324" w:rsidRPr="00A97726" w:rsidRDefault="00A97726" w:rsidP="00AD43FD">
                  <w:pPr>
                    <w:pStyle w:val="style44"/>
                    <w:spacing w:line="260" w:lineRule="exact"/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 xml:space="preserve">Βιογραφικό </w:t>
                  </w:r>
                  <w:r w:rsidR="00AD43FD" w:rsidRPr="00500F88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                                                </w:t>
                  </w:r>
                  <w:r w:rsidR="006E3041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 xml:space="preserve">       </w:t>
                  </w:r>
                  <w:bookmarkStart w:id="0" w:name="_GoBack"/>
                  <w:bookmarkEnd w:id="0"/>
                  <w:r w:rsidR="00AD43FD" w:rsidRPr="00500F88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  </w:t>
                  </w:r>
                  <w:r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>ΒΙΚΤΩΡΙΑ ΑΛΙΚΑΡΗ</w:t>
                  </w:r>
                </w:p>
              </w:tc>
            </w:tr>
            <w:tr w:rsidR="00922324" w:rsidRPr="00500F88" w14:paraId="6C5DFF8A" w14:textId="77777777" w:rsidTr="000F6E7F">
              <w:trPr>
                <w:trHeight w:val="3102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54C69B03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ind w:left="-729" w:firstLine="709"/>
                    <w:textAlignment w:val="baseline"/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Βαθμίδα:</w:t>
                  </w:r>
                  <w:r w:rsidRPr="00522C84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Επίκουρη Καθηγήτρια</w:t>
                  </w: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 xml:space="preserve"> ΦΕΚ</w:t>
                  </w:r>
                  <w:r w:rsidRPr="00730729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: Γ’ 176</w:t>
                  </w:r>
                  <w:r w:rsidRPr="006D4D57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/</w:t>
                  </w:r>
                  <w:r w:rsidRPr="00730729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2024</w:t>
                  </w:r>
                  <w:r w:rsidRPr="00522C84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ΚΩΔΙΚΟΣ ΑΠΕΛΛΑ:</w:t>
                  </w:r>
                  <w:r w:rsidRPr="008A53AE">
                    <w:rPr>
                      <w:rFonts w:ascii="Tahoma" w:hAnsi="Tahoma" w:cs="Tahoma"/>
                      <w:sz w:val="21"/>
                      <w:szCs w:val="21"/>
                    </w:rPr>
                    <w:t xml:space="preserve"> 32593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                                      </w:t>
                  </w:r>
                </w:p>
                <w:p w14:paraId="62359243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Γνωστικό Αντικείμενο:</w:t>
                  </w: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730729">
                    <w:rPr>
                      <w:rFonts w:ascii="Tahoma" w:hAnsi="Tahoma" w:cs="Tahoma"/>
                      <w:color w:val="000000"/>
                      <w:sz w:val="21"/>
                      <w:szCs w:val="21"/>
                    </w:rPr>
                    <w:t>Νεφρολογι</w:t>
                  </w:r>
                  <w:r w:rsidRPr="00730729"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κή</w:t>
                  </w:r>
                  <w:r w:rsidRPr="00522C84"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 xml:space="preserve"> Νοσηλευτική</w:t>
                  </w:r>
                </w:p>
                <w:p w14:paraId="3C38FBD1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Τομέας: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  <w:r w:rsidRPr="00522C84"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 xml:space="preserve">Κοινοτικής Νοσηλευτικής και Νοσηλευτικής Δημόσιας Υγείας    </w:t>
                  </w:r>
                </w:p>
                <w:p w14:paraId="712154D8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 xml:space="preserve">Εργαστήριο: </w:t>
                  </w:r>
                  <w:r w:rsidRPr="00522C84"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Νοσηλευτική Αποκατάστασης Χρονίως Πασχόντων (Κτήριο K13, 102,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</w:p>
                <w:p w14:paraId="26C0CD18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Cs/>
                      <w:i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</w:rPr>
                    <w:t>2105385649</w:t>
                  </w:r>
                </w:p>
                <w:p w14:paraId="4D88D77A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Cs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Τηλέφωνο Γραφείου: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</w:rPr>
                    <w:t xml:space="preserve"> 2105385649</w:t>
                  </w:r>
                </w:p>
                <w:p w14:paraId="15BF4149" w14:textId="77777777" w:rsidR="00A97726" w:rsidRPr="004263BD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>Email</w:t>
                  </w:r>
                  <w:r w:rsidRPr="004263BD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>:</w:t>
                  </w:r>
                  <w:r w:rsidRPr="004263BD"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  <w:hyperlink r:id="rId7" w:history="1">
                    <w:r w:rsidRPr="00902E72">
                      <w:rPr>
                        <w:rStyle w:val="-"/>
                        <w:rFonts w:ascii="Tahoma" w:hAnsi="Tahoma" w:cs="Tahoma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vicalikari</w:t>
                    </w:r>
                    <w:r w:rsidRPr="004263BD">
                      <w:rPr>
                        <w:rStyle w:val="-"/>
                        <w:rFonts w:ascii="Tahoma" w:hAnsi="Tahoma" w:cs="Tahoma"/>
                        <w:sz w:val="21"/>
                        <w:szCs w:val="21"/>
                        <w:bdr w:val="none" w:sz="0" w:space="0" w:color="auto" w:frame="1"/>
                      </w:rPr>
                      <w:t>@</w:t>
                    </w:r>
                    <w:r w:rsidRPr="00902E72">
                      <w:rPr>
                        <w:rStyle w:val="-"/>
                        <w:rFonts w:ascii="Tahoma" w:hAnsi="Tahoma" w:cs="Tahoma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uniwa</w:t>
                    </w:r>
                    <w:r w:rsidRPr="004263BD">
                      <w:rPr>
                        <w:rStyle w:val="-"/>
                        <w:rFonts w:ascii="Tahoma" w:hAnsi="Tahoma" w:cs="Tahoma"/>
                        <w:sz w:val="21"/>
                        <w:szCs w:val="21"/>
                        <w:bdr w:val="none" w:sz="0" w:space="0" w:color="auto" w:frame="1"/>
                      </w:rPr>
                      <w:t>.</w:t>
                    </w:r>
                    <w:r w:rsidRPr="00902E72">
                      <w:rPr>
                        <w:rStyle w:val="-"/>
                        <w:rFonts w:ascii="Tahoma" w:hAnsi="Tahoma" w:cs="Tahoma"/>
                        <w:sz w:val="21"/>
                        <w:szCs w:val="21"/>
                        <w:bdr w:val="none" w:sz="0" w:space="0" w:color="auto" w:frame="1"/>
                        <w:lang w:val="en-US"/>
                      </w:rPr>
                      <w:t>gr</w:t>
                    </w:r>
                  </w:hyperlink>
                  <w:r w:rsidRPr="004263BD">
                    <w:rPr>
                      <w:rStyle w:val="a6"/>
                      <w:rFonts w:ascii="Tahoma" w:hAnsi="Tahoma" w:cs="Tahoma"/>
                      <w:b w:val="0"/>
                      <w:color w:val="000000"/>
                      <w:sz w:val="21"/>
                      <w:szCs w:val="21"/>
                      <w:bdr w:val="none" w:sz="0" w:space="0" w:color="auto" w:frame="1"/>
                    </w:rPr>
                    <w:t xml:space="preserve"> </w:t>
                  </w:r>
                </w:p>
                <w:p w14:paraId="65383874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>Research Gate</w:t>
                  </w: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  <w:t xml:space="preserve">: </w:t>
                  </w:r>
                  <w:hyperlink r:id="rId8" w:history="1">
                    <w:r w:rsidRPr="00FB041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https://www.researchgate.net/profile/Victoria-Alikari-2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38DA970D" w14:textId="77777777" w:rsidR="00A97726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>Google Scholar Profile</w:t>
                  </w: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  <w:t>:</w:t>
                  </w:r>
                  <w:r w:rsidRPr="00522C84"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34E1B08E" w14:textId="77777777" w:rsidR="00A97726" w:rsidRPr="00FD604B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4472C4"/>
                      <w:sz w:val="21"/>
                      <w:szCs w:val="21"/>
                      <w:lang w:val="en-US"/>
                    </w:rPr>
                  </w:pPr>
                  <w:hyperlink r:id="rId9" w:history="1">
                    <w:r w:rsidRPr="00FB041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https://scholar.google.com/citations?user=85Ax1ckAAAAJ&amp;</w:t>
                    </w:r>
                    <w:r w:rsidRPr="00FB041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</w:t>
                    </w:r>
                    <w:r w:rsidRPr="00FB041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l=El</w:t>
                    </w:r>
                  </w:hyperlink>
                  <w:r w:rsidRPr="00FD604B">
                    <w:rPr>
                      <w:rFonts w:ascii="Tahoma" w:hAnsi="Tahoma" w:cs="Tahoma"/>
                      <w:color w:val="4472C4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14:paraId="513F0177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  <w:t>Web of Science:</w:t>
                  </w:r>
                  <w:r>
                    <w:rPr>
                      <w:lang w:val="en-US"/>
                    </w:rPr>
                    <w:t xml:space="preserve"> </w:t>
                  </w:r>
                  <w:hyperlink r:id="rId10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https://publons.com/researcher/4473688/victoria-alikari/</w:t>
                    </w:r>
                  </w:hyperlink>
                </w:p>
                <w:p w14:paraId="79280FD0" w14:textId="77777777" w:rsidR="00A97726" w:rsidRPr="00522C84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</w:pP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>O</w:t>
                  </w:r>
                  <w:r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>RCID</w:t>
                  </w:r>
                  <w:r w:rsidRPr="00522C84">
                    <w:rPr>
                      <w:rStyle w:val="a6"/>
                      <w:rFonts w:ascii="Tahoma" w:hAnsi="Tahoma" w:cs="Tahoma"/>
                      <w:color w:val="000000"/>
                      <w:sz w:val="21"/>
                      <w:szCs w:val="21"/>
                      <w:bdr w:val="none" w:sz="0" w:space="0" w:color="auto" w:frame="1"/>
                      <w:lang w:val="en-US"/>
                    </w:rPr>
                    <w:t xml:space="preserve"> ID</w:t>
                  </w: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  <w:t xml:space="preserve">: </w:t>
                  </w:r>
                  <w:hyperlink r:id="rId11" w:history="1">
                    <w:r w:rsidRPr="00FB041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https://orcid.org/0000-0003-1733-6208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10F399BF" w14:textId="77777777" w:rsidR="000E153E" w:rsidRPr="00500F88" w:rsidRDefault="00A97726" w:rsidP="00A97726">
                  <w:pPr>
                    <w:pStyle w:val="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</w:pPr>
                  <w:r w:rsidRPr="00522C84">
                    <w:rPr>
                      <w:rFonts w:ascii="Tahoma" w:hAnsi="Tahoma" w:cs="Tahoma"/>
                      <w:b/>
                      <w:color w:val="000000"/>
                      <w:sz w:val="21"/>
                      <w:szCs w:val="21"/>
                      <w:lang w:val="en-US"/>
                    </w:rPr>
                    <w:t xml:space="preserve">PubMed: </w:t>
                  </w:r>
                  <w:hyperlink r:id="rId12" w:history="1">
                    <w:r w:rsidRPr="007D3512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https://pubmed.ncbi.nlm.nih.gov/?term=alikari+victoria</w:t>
                    </w:r>
                  </w:hyperlink>
                </w:p>
              </w:tc>
            </w:tr>
            <w:tr w:rsidR="00922324" w:rsidRPr="00500F88" w14:paraId="2D8B77FF" w14:textId="77777777" w:rsidTr="000F6E7F">
              <w:trPr>
                <w:trHeight w:val="212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6D213216" w14:textId="77777777" w:rsidR="00922324" w:rsidRPr="00A97726" w:rsidRDefault="00A97726" w:rsidP="00E50BA9">
                  <w:pPr>
                    <w:pStyle w:val="style44"/>
                    <w:spacing w:line="260" w:lineRule="exact"/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</w:pPr>
                  <w:r w:rsidRPr="00A97726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>Σπουδές</w:t>
                  </w:r>
                </w:p>
              </w:tc>
            </w:tr>
            <w:tr w:rsidR="008E5CE7" w:rsidRPr="00A97726" w14:paraId="52DB3D14" w14:textId="77777777" w:rsidTr="000F6E7F">
              <w:trPr>
                <w:trHeight w:val="1772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5A872ACE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1997: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Πτυχίο Τμήματος Νοσηλευτικής Α’, Τ.Ε.Ι. Αθήνας</w:t>
                  </w:r>
                </w:p>
                <w:p w14:paraId="0E821162" w14:textId="77777777" w:rsidR="00A97726" w:rsidRPr="00522C84" w:rsidRDefault="00A97726" w:rsidP="00A97726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2003: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Πτυχίο Τμήματος Νοσηλευτικής, Εθνικού &amp; Καποδιστριακού Πανεπιστημίου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Αθηνών </w:t>
                  </w:r>
                </w:p>
                <w:p w14:paraId="2EE18956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200</w:t>
                  </w:r>
                  <w:r w:rsidRPr="005E6E97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7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: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Μεταπτυχιακό Δίπλωμα Ειδίκευσης «Κλινική   Νοσηλευτική» με κατεύθυνση </w:t>
                  </w:r>
                </w:p>
                <w:p w14:paraId="1D5E6C94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«Πρόληψη και  Έλεγχος Λοιμώξεων», Τμήμα Νοσηλευτικής, Εθνικού &amp; Καποδιστριακού </w:t>
                  </w:r>
                </w:p>
                <w:p w14:paraId="4A78366B" w14:textId="77777777" w:rsidR="00216277" w:rsidRPr="00A9772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Πανεπιστημίου Αθηνών</w:t>
                  </w:r>
                </w:p>
                <w:p w14:paraId="00CC79BF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2017: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Διδακτορικό Δίπλωμα, Τμήμα Νοσηλευτικής, Πανεπιστήμιο Πελοποννήσου</w:t>
                  </w:r>
                </w:p>
                <w:p w14:paraId="3F6743D1" w14:textId="77777777" w:rsidR="00CC6EBA" w:rsidRPr="00A97726" w:rsidRDefault="00A97726" w:rsidP="005144F8">
                  <w:pPr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CE604E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2021: 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Μεταδιδακτορική έρευνα, </w:t>
                  </w:r>
                  <w:r w:rsidRPr="00CE604E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Τμήμα Νοσηλευτικής, Πανεπιστήμιο Πελοποννήσου</w:t>
                  </w:r>
                </w:p>
                <w:tbl>
                  <w:tblPr>
                    <w:tblW w:w="8500" w:type="dxa"/>
                    <w:tblInd w:w="2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0"/>
                  </w:tblGrid>
                  <w:tr w:rsidR="00BE4C62" w:rsidRPr="00500F88" w14:paraId="0A02D7C4" w14:textId="77777777" w:rsidTr="00BE4C62">
                    <w:trPr>
                      <w:trHeight w:val="212"/>
                    </w:trPr>
                    <w:tc>
                      <w:tcPr>
                        <w:tcW w:w="5000" w:type="pct"/>
                        <w:shd w:val="clear" w:color="auto" w:fill="EFEBB5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</w:tcPr>
                      <w:p w14:paraId="77A181F0" w14:textId="77777777" w:rsidR="00BE4C62" w:rsidRPr="00A97726" w:rsidRDefault="00A97726" w:rsidP="00BE4C62">
                        <w:pPr>
                          <w:pStyle w:val="style44"/>
                          <w:spacing w:line="260" w:lineRule="exact"/>
                          <w:rPr>
                            <w:rFonts w:ascii="Tahoma" w:hAnsi="Tahoma" w:cs="Tahoma"/>
                            <w:b/>
                            <w:color w:val="333333"/>
                            <w:sz w:val="21"/>
                            <w:szCs w:val="21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333333"/>
                            <w:sz w:val="21"/>
                            <w:szCs w:val="21"/>
                            <w:lang w:val="el-GR"/>
                          </w:rPr>
                          <w:t>Ακαδημαϊκή προϋπηρεσία</w:t>
                        </w:r>
                      </w:p>
                    </w:tc>
                  </w:tr>
                </w:tbl>
                <w:p w14:paraId="2A1C2C2F" w14:textId="77777777" w:rsidR="00A97726" w:rsidRPr="00AB548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2008-2018: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Ε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ργαστηριακή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Σ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υνεργάτις, Τμήμα Νοσηλευτικής, ΤΕΙ Αθήνας</w:t>
                  </w:r>
                  <w:r w:rsidRPr="00AB5486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.</w:t>
                  </w:r>
                </w:p>
                <w:p w14:paraId="15D7C079" w14:textId="77777777" w:rsidR="00A97726" w:rsidRPr="00522C84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2018-2019: Ακαδημαϊκή υπότροφος,</w:t>
                  </w:r>
                  <w:r w:rsidRPr="00AB5486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Τμήμα Νοσηλευτικής, Πανεπιστήμιο Δυτικής Αττικής</w:t>
                  </w:r>
                </w:p>
                <w:p w14:paraId="10FF9AAE" w14:textId="77777777" w:rsidR="00A97726" w:rsidRPr="00522C84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2019-202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4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: Λέκτορας, Τμήμα Νοσηλευτικής, Πανεπιστήμιο Δυτικής Αττικής.</w:t>
                  </w:r>
                </w:p>
                <w:p w14:paraId="38DDCBF2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2020-</w:t>
                  </w:r>
                  <w:r w:rsidRPr="009A7A2B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      </w:t>
                  </w: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:Επιστημονική συνεργάτις, Τμήμα Νοσηλευτικής, ΕΚΠΑ</w:t>
                  </w:r>
                </w:p>
                <w:p w14:paraId="2FE5C860" w14:textId="77777777" w:rsidR="000F6E7F" w:rsidRPr="00A9772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47019D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2024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</w:t>
                  </w:r>
                  <w:r w:rsidRPr="0047019D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-</w:t>
                  </w:r>
                  <w:r w:rsidR="006E3041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σήμερα</w:t>
                  </w:r>
                  <w:r w:rsidRPr="0047019D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: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Επίκουρη Καθηγήτρια,</w:t>
                  </w:r>
                  <w:r w:rsidRPr="0047019D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Τμήμα Νοσηλευτικής, Πανεπιστήμι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ο</w:t>
                  </w:r>
                  <w:r w:rsidRPr="0047019D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Δυτικής Αττικής</w:t>
                  </w:r>
                </w:p>
                <w:tbl>
                  <w:tblPr>
                    <w:tblW w:w="8500" w:type="dxa"/>
                    <w:tblInd w:w="28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0"/>
                  </w:tblGrid>
                  <w:tr w:rsidR="00BE4C62" w:rsidRPr="00A97726" w14:paraId="7377DB25" w14:textId="77777777" w:rsidTr="00BE4C62">
                    <w:trPr>
                      <w:trHeight w:val="212"/>
                    </w:trPr>
                    <w:tc>
                      <w:tcPr>
                        <w:tcW w:w="5000" w:type="pct"/>
                        <w:shd w:val="clear" w:color="auto" w:fill="EFEBB5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</w:tcPr>
                      <w:p w14:paraId="1D44CCF7" w14:textId="77777777" w:rsidR="00BE4C62" w:rsidRPr="00A97726" w:rsidRDefault="00A97726" w:rsidP="00BE4C62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21"/>
                            <w:szCs w:val="21"/>
                            <w:lang w:val="el-GR"/>
                          </w:rPr>
                          <w:t>Επαγγελματική προϋπηρεσία</w:t>
                        </w:r>
                      </w:p>
                    </w:tc>
                  </w:tr>
                </w:tbl>
                <w:p w14:paraId="581F1C37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1999–2000:</w:t>
                  </w: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υπεύθυνη νοσηλεύτρια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, Νεφρολογική Κλινική,</w:t>
                  </w: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Γ.Ν.Α. «Γ.ΓΕΝΝΗΜΑΤΑΣ»</w:t>
                  </w:r>
                </w:p>
                <w:p w14:paraId="3C8A5AE6" w14:textId="77777777" w:rsidR="00A97726" w:rsidRDefault="00A97726" w:rsidP="00A97726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2001-2019: υπεύθυνη νοσηλεύτρια Νεφρολογικής Κλινικής-Μονάδας Περιτοναϊκής </w:t>
                  </w:r>
                </w:p>
                <w:p w14:paraId="22CDF921" w14:textId="77777777" w:rsidR="00BE4C62" w:rsidRPr="00A97726" w:rsidRDefault="00A97726" w:rsidP="006E3041">
                  <w:pPr>
                    <w:jc w:val="both"/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</w:pP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Κάθαρσης, Επιτροπής Νοσοκομειακών Λοιμώξεων και </w:t>
                  </w:r>
                  <w:r w:rsidR="006E3041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Π</w:t>
                  </w: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ροϊσταμένη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 xml:space="preserve"> </w:t>
                  </w:r>
                  <w:r w:rsidRPr="00730729">
                    <w:rPr>
                      <w:rFonts w:ascii="Tahoma" w:hAnsi="Tahoma" w:cs="Tahoma"/>
                      <w:sz w:val="21"/>
                      <w:szCs w:val="21"/>
                      <w:lang w:val="el-GR"/>
                    </w:rPr>
                    <w:t>Νοσηλεύτρια Μονάδας Εγκαυμάτων Γ.Ν.Α. «Γ.ΓΕΝΝΗΜΑΤΑΣ».</w:t>
                  </w:r>
                </w:p>
              </w:tc>
            </w:tr>
            <w:tr w:rsidR="008E5CE7" w:rsidRPr="00500F88" w14:paraId="3B4248CB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3FC31D27" w14:textId="77777777" w:rsidR="008E5CE7" w:rsidRPr="00A97726" w:rsidRDefault="00A97726" w:rsidP="00E50BA9">
                  <w:pPr>
                    <w:spacing w:line="260" w:lineRule="exact"/>
                    <w:ind w:right="425"/>
                    <w:rPr>
                      <w:rFonts w:ascii="Tahoma" w:hAnsi="Tahoma" w:cs="Tahoma"/>
                      <w:b/>
                      <w:sz w:val="21"/>
                      <w:szCs w:val="21"/>
                      <w:lang w:val="el-GR"/>
                    </w:rPr>
                  </w:pPr>
                  <w:r w:rsidRPr="00A97726">
                    <w:rPr>
                      <w:rFonts w:ascii="Tahoma" w:hAnsi="Tahoma" w:cs="Tahoma"/>
                      <w:b/>
                      <w:sz w:val="21"/>
                      <w:szCs w:val="21"/>
                      <w:lang w:val="el-GR"/>
                    </w:rPr>
                    <w:t>Ερευνητικά ενδιαφέροντα</w:t>
                  </w:r>
                </w:p>
              </w:tc>
            </w:tr>
            <w:tr w:rsidR="008E5CE7" w:rsidRPr="00A97726" w14:paraId="56119806" w14:textId="77777777" w:rsidTr="000F6E7F">
              <w:trPr>
                <w:trHeight w:val="383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78EF7599" w14:textId="77777777" w:rsidR="00A97726" w:rsidRDefault="00A97726" w:rsidP="00A97726">
                  <w:pPr>
                    <w:tabs>
                      <w:tab w:val="left" w:pos="180"/>
                    </w:tabs>
                    <w:ind w:right="851"/>
                    <w:jc w:val="both"/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>Νεφρολογική Νοσηλευτική, Σχετιζόμενη με την Υγεία Ποιότητα Ζωής,</w:t>
                  </w:r>
                  <w:r w:rsidRPr="00707961"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 xml:space="preserve">Εκπαίδευση </w:t>
                  </w:r>
                </w:p>
                <w:p w14:paraId="157F7754" w14:textId="77777777" w:rsidR="00635A92" w:rsidRPr="00A97726" w:rsidRDefault="00A97726" w:rsidP="00A97726">
                  <w:pPr>
                    <w:tabs>
                      <w:tab w:val="left" w:pos="180"/>
                    </w:tabs>
                    <w:spacing w:line="260" w:lineRule="exact"/>
                    <w:ind w:right="851"/>
                    <w:jc w:val="both"/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 xml:space="preserve">Ασθενούς, </w:t>
                  </w:r>
                  <w:r w:rsidRPr="00522C84"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>Πρόληψη και Έλεγχος Λοιμώξ</w:t>
                  </w:r>
                  <w:r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>ε</w:t>
                  </w:r>
                  <w:r w:rsidRPr="00522C84">
                    <w:rPr>
                      <w:rFonts w:ascii="Tahoma" w:hAnsi="Tahoma" w:cs="Tahoma"/>
                      <w:bCs/>
                      <w:iCs/>
                      <w:sz w:val="21"/>
                      <w:szCs w:val="21"/>
                      <w:lang w:val="el-GR"/>
                    </w:rPr>
                    <w:t>ων.</w:t>
                  </w:r>
                </w:p>
              </w:tc>
            </w:tr>
            <w:tr w:rsidR="008E5CE7" w:rsidRPr="00500F88" w14:paraId="72248E87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7C01F518" w14:textId="77777777" w:rsidR="008E5CE7" w:rsidRPr="00A97726" w:rsidRDefault="00A97726" w:rsidP="00E50BA9">
                  <w:pPr>
                    <w:pStyle w:val="style44"/>
                    <w:spacing w:line="260" w:lineRule="exact"/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</w:pPr>
                  <w:r w:rsidRPr="00A97726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>Διδασκαλία μαθημάτων</w:t>
                  </w:r>
                </w:p>
              </w:tc>
            </w:tr>
            <w:tr w:rsidR="008E5CE7" w:rsidRPr="00A97726" w14:paraId="702E7C0A" w14:textId="77777777" w:rsidTr="000F6E7F">
              <w:trPr>
                <w:trHeight w:val="993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7F7CD823" w14:textId="77777777" w:rsidR="00A97726" w:rsidRPr="00522C84" w:rsidRDefault="00A97726" w:rsidP="00A97726">
                  <w:pPr>
                    <w:tabs>
                      <w:tab w:val="left" w:pos="142"/>
                    </w:tabs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>Προπτυχιακό επίπεδο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 xml:space="preserve">: 1) Νεφρολογική Νοσηλευτική, 2) Νοσηλευτική Υγιεινής και </w:t>
                  </w:r>
                </w:p>
                <w:p w14:paraId="737CA3BC" w14:textId="77777777" w:rsidR="00A97726" w:rsidRPr="00522C84" w:rsidRDefault="00A97726" w:rsidP="00A97726">
                  <w:pPr>
                    <w:tabs>
                      <w:tab w:val="left" w:pos="142"/>
                    </w:tabs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 xml:space="preserve">ασφάλειας της εργασίας, 3) Επιδημιολογία. </w:t>
                  </w:r>
                </w:p>
                <w:p w14:paraId="0FA2483B" w14:textId="77777777" w:rsidR="00A97726" w:rsidRDefault="00A97726" w:rsidP="00A97726">
                  <w:pPr>
                    <w:tabs>
                      <w:tab w:val="left" w:pos="142"/>
                    </w:tabs>
                    <w:jc w:val="both"/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</w:pPr>
                  <w:r w:rsidRPr="00926264"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>Μεταπτυχιακό επίπεδο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>: διδασκαλία σε μεταπτυχιακά προγράμματα του τμήματος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  <w:lang w:val="el-GR"/>
                    </w:rPr>
                    <w:t xml:space="preserve"> </w:t>
                  </w:r>
                </w:p>
                <w:p w14:paraId="5FB9A652" w14:textId="77777777" w:rsidR="00635A92" w:rsidRPr="00A97726" w:rsidRDefault="00A97726" w:rsidP="00323A70">
                  <w:pPr>
                    <w:pStyle w:val="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Νοσηλευτικής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 xml:space="preserve"> του 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Πανεπιστήμιο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υ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 xml:space="preserve"> Δυτικής Αττικής 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 xml:space="preserve">και του 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Τμήμα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τος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 xml:space="preserve"> Νοσηλευτικής,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926264">
                    <w:rPr>
                      <w:rFonts w:ascii="Tahoma" w:hAnsi="Tahoma" w:cs="Tahoma"/>
                      <w:bCs/>
                      <w:sz w:val="21"/>
                      <w:szCs w:val="21"/>
                      <w:shd w:val="clear" w:color="auto" w:fill="FFFFFF"/>
                    </w:rPr>
                    <w:t>ΕΚΠΑ</w:t>
                  </w:r>
                </w:p>
              </w:tc>
            </w:tr>
            <w:tr w:rsidR="008E5CE7" w:rsidRPr="00500F88" w14:paraId="008A202A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42598D2F" w14:textId="77777777" w:rsidR="008E5CE7" w:rsidRPr="006F1E6E" w:rsidRDefault="006F1E6E" w:rsidP="00E50BA9">
                  <w:pPr>
                    <w:pStyle w:val="style44"/>
                    <w:spacing w:line="260" w:lineRule="exact"/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</w:pPr>
                  <w:r w:rsidRPr="006F1E6E">
                    <w:rPr>
                      <w:rFonts w:ascii="Tahoma" w:hAnsi="Tahoma" w:cs="Tahoma"/>
                      <w:b/>
                      <w:color w:val="333333"/>
                      <w:sz w:val="21"/>
                      <w:szCs w:val="21"/>
                      <w:lang w:val="el-GR"/>
                    </w:rPr>
                    <w:t>Πρόσφατες δημοσιεύσεις</w:t>
                  </w:r>
                </w:p>
              </w:tc>
            </w:tr>
            <w:tr w:rsidR="000F6E7F" w:rsidRPr="00B93E83" w14:paraId="584DE42B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4E00A7CD" w14:textId="77777777" w:rsidR="006F1E6E" w:rsidRPr="006F1E6E" w:rsidRDefault="006F1E6E" w:rsidP="006F1E6E">
                  <w:pPr>
                    <w:pStyle w:val="Default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6F1E6E">
                    <w:rPr>
                      <w:rFonts w:ascii="Tahoma" w:hAnsi="Tahoma" w:cs="Tahoma"/>
                      <w:b/>
                      <w:sz w:val="21"/>
                      <w:szCs w:val="21"/>
                    </w:rPr>
                    <w:t>Α. Σε διεθνή επιστημονικά περιοδικά</w:t>
                  </w:r>
                </w:p>
                <w:p w14:paraId="0A323453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Halki E, Kapir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i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Plakas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S,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Tsiou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C,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Govina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O,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Galanis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P,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V. (2024). Fati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g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ue among Greek parents of children with autistic spectrum disorder: The roles of spirituality and social support. Healthcare, 12(4), 455  </w:t>
                  </w:r>
                </w:p>
                <w:p w14:paraId="430E12B8" w14:textId="77777777" w:rsidR="000F6E7F" w:rsidRPr="009D2559" w:rsidRDefault="000F6E7F" w:rsidP="009D2559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Londoudi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Skampardonis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K,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Prapa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PM,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Toska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Saridi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M, </w:t>
                  </w:r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Lavdaniti M, Zyga S, Fradelos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EC. (2024). Assessment of the relationship between</w:t>
                  </w:r>
                  <w:r w:rsidR="00F513D3"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fear of cancer recurrence, spiritual well-being, and mental health among cancer patients: a cross-sectional study. Nursing reports, 14(1), 317–327. </w:t>
                  </w:r>
                </w:p>
                <w:p w14:paraId="0DF0EA06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Roussou E,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Fasoi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G, Stavropoulou A, Kelesi M, Vasilopoulos G, Gerogianni G,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V.</w:t>
                  </w:r>
                  <w:r w:rsidR="00B93E83" w:rsidRPr="00B93E83"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Quality of life of patients with pressure ulcers: a systematic review. Medicine and </w:t>
                  </w:r>
                </w:p>
                <w:p w14:paraId="6E4E9F1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Pharmacy Reports, 2023, 96(2), 123-130.</w:t>
                  </w:r>
                </w:p>
                <w:p w14:paraId="593A87C1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lastRenderedPageBreak/>
                    <w:t>Kalini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S., Zartaloudi, A., Kavga, A.,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Stamou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A.,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Alikari,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., Fradelos, E. C., &amp; </w:t>
                  </w:r>
                </w:p>
                <w:p w14:paraId="3576D2C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Gerogianni, G. (2023). Investigation of anxiety and health locus of control in patients </w:t>
                  </w:r>
                </w:p>
                <w:p w14:paraId="2A7FEF3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undergoing hemodialysis. Adv. Exp. Med. Biol. 1425, 47–57.</w:t>
                  </w:r>
                </w:p>
                <w:p w14:paraId="0908ADD5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Fradelos, E. C., Papathanasiou, I. V., Dafogianni, C.,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Misouridou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E., Koutelekos, I., </w:t>
                  </w:r>
                </w:p>
                <w:p w14:paraId="2D01753C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Dousis, E.,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Vlachou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E., Evangelou, E.,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Alikari, V.,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Gerogianni, G., Polikandrioti, M., </w:t>
                  </w:r>
                </w:p>
                <w:p w14:paraId="2BFB42C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&amp; Zartaloudi, A. (2023). The effect of psychological resilience and coping strategies </w:t>
                  </w:r>
                </w:p>
                <w:p w14:paraId="613CDCA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on mental health of nurses. Adv. Exp. Med. Biol. 1425, 23–30. </w:t>
                  </w:r>
                </w:p>
                <w:p w14:paraId="76E9B3C7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Vasilaki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M.,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Vlachou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E., Kavga, A.,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Govina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O.,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Dokoutsidou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E., Evangelou, E., </w:t>
                  </w:r>
                </w:p>
                <w:p w14:paraId="7EA2D39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2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Ntikoudi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A.,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Mantoudi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A.,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Alikari,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(2023). Fatigue among </w:t>
                  </w:r>
                  <w:r>
                    <w:rPr>
                      <w:rFonts w:ascii="Tahoma" w:hAnsi="Tahoma" w:cs="Tahoma"/>
                      <w:sz w:val="22"/>
                      <w:szCs w:val="21"/>
                      <w:lang w:val="en-GB"/>
                    </w:rPr>
                    <w:t xml:space="preserve">patients with type 2 </w:t>
                  </w:r>
                </w:p>
                <w:p w14:paraId="479B990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2"/>
                      <w:szCs w:val="21"/>
                      <w:lang w:val="en-GB"/>
                    </w:rPr>
                    <w:t>diabetes mellitu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s: The impact of spirituality and illness perceptions. Healthcare. </w:t>
                  </w:r>
                </w:p>
                <w:p w14:paraId="374A674D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11(24),3154.</w:t>
                  </w:r>
                </w:p>
                <w:p w14:paraId="3C69D2EF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Matziou V, Tsironi M, Theofilou P, Giannakopoulou N, Tzavella F, Fradelos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EC, </w:t>
                  </w:r>
                  <w:r w:rsidR="00B93E83"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Zyga</w:t>
                  </w:r>
                  <w:proofErr w:type="gramEnd"/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S. Patient knowledge, adherence to the therapeutic regimen, and quality of life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in hemodialysis Adv Exp Med Biol. 2021;1337:259-272.</w:t>
                  </w:r>
                </w:p>
                <w:p w14:paraId="42CDEC1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hyperlink r:id="rId13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https://doi.org/10.1007/978-3-030-78771-4_29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</w:t>
                  </w:r>
                </w:p>
                <w:p w14:paraId="70E83E2C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Alimperti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V,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Tsironi M, Rojas Gil A. P,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Papageorgiou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D, Kolovos P, </w:t>
                  </w:r>
                </w:p>
                <w:p w14:paraId="18A600D1" w14:textId="77777777" w:rsidR="000F6E7F" w:rsidRDefault="000F6E7F" w:rsidP="009D2559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Panagiotou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Panoutsopoulos GI, Lavdaniti M, Zyga S. (2023). Lipid disturbances in breast cancer patients during chemotherapy. Nursing Reports, 13(4), 1500–1510.</w:t>
                  </w:r>
                </w:p>
                <w:p w14:paraId="337A1BE2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Fotaraki Z, Gerogianni G, Vasilopoulos G, Polikandrioti M, Giannakopoulou N,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Alikari, V.</w:t>
                  </w:r>
                  <w:r w:rsidR="00B93E83" w:rsidRPr="00B93E83"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Depression, adherence, and functionality in patients undergoing hemodialysis. </w:t>
                  </w:r>
                </w:p>
                <w:p w14:paraId="6E8C6B4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Cureus. 2022; 14(2): e21872.</w:t>
                  </w:r>
                </w:p>
                <w:p w14:paraId="1BFCECF2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Benetou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Vasilopoulos G, Polikandrioti 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Kalogianni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Panoutsopoulos GI, Toulia G,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Leftheriotis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D, Gerogianni G. Factors associated with insomnia in patients undergoing hemodialysis. Cureus. 2022; 14(2): e22197. </w:t>
                  </w:r>
                </w:p>
                <w:p w14:paraId="511ACB84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Tsirigotis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S, Polikandrioti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Dousis E, Koutelekos I, Toulia G,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Pavlatou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N, Panoutsopoulos GI,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Leftheriotis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D, Gerogianni G. Factors associated with fatigue in patients undergoing hemodialysis. Cureus. 2022; 14(3): e2299</w:t>
                  </w:r>
                </w:p>
                <w:p w14:paraId="0BFE6B5C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Velelekou A, Papathanasiou IV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, 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Papagiannis D, Tsaras K, Fradelos EC. Factors influencing the duration of hospitalization of patients with schizophrenia. Med Pharm Rep. 2022; 95(3):290-299. </w:t>
                  </w:r>
                </w:p>
                <w:p w14:paraId="3A696B2F" w14:textId="77777777" w:rsidR="000F6E7F" w:rsidRPr="00F513D3" w:rsidRDefault="000F6E7F" w:rsidP="00F513D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 EC,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Montegrico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J, Cornelius J, Bakalis V,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Malliarou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M, Papathanasiou IV,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Fasoi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G</w:t>
                  </w:r>
                  <w:r w:rsidR="00B93E83"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Kelesi M, </w:t>
                  </w:r>
                  <w:proofErr w:type="spellStart"/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Kaba</w:t>
                  </w:r>
                  <w:proofErr w:type="spellEnd"/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E, </w:t>
                  </w:r>
                  <w:r w:rsidRPr="00B93E83"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Alikari, V.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(2022).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Translation and Validation of Nursing Students' Knowledge and Attitudes of Lesbian, Gay, Bisexual, Transgender Health Concerns </w:t>
                  </w:r>
                  <w:r w:rsidRPr="00F513D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Survey in the Greek Language. Healthcare. 10(12),2547.</w:t>
                  </w:r>
                </w:p>
                <w:p w14:paraId="7941BDD7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V,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Gerogianni G, Fradelos EC, Kelesi 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Kaba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E, Zyga, S. (2022). Perceptions of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caring behaviors among patients and nurses. Int. J. Environ. Res. </w:t>
                  </w:r>
                  <w:proofErr w:type="spellStart"/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Publi</w:t>
                  </w:r>
                  <w:proofErr w:type="spellEnd"/>
                  <w:r w:rsid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Health,20(1),</w:t>
                  </w:r>
                  <w:r w:rsidR="00B93E83"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396.</w:t>
                  </w:r>
                </w:p>
                <w:p w14:paraId="6A1CE427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Fradelos EC. Translation, cultural adaptation, validity, and internal </w:t>
                  </w:r>
                </w:p>
                <w:p w14:paraId="7169A08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consistency of the Greek Version of the Individual Workload Perceptions Scale-</w:t>
                  </w:r>
                </w:p>
                <w:p w14:paraId="7C405E9D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Revised. Cureus. 2021;13(10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):e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19174. </w:t>
                  </w:r>
                  <w:hyperlink r:id="rId14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https://doi.org/10.7759/cureus.19174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  </w:t>
                  </w:r>
                </w:p>
                <w:p w14:paraId="4C7AABBD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Fradelos EC, Giannakopoulou N, Gerogianni G, Efstathiou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F,Lavdaniti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M,  </w:t>
                  </w:r>
                </w:p>
                <w:p w14:paraId="191B517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ZygaS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Translation, cultural adaptation, validation and internal consistency of the </w:t>
                  </w:r>
                </w:p>
                <w:p w14:paraId="481234D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Factors of Nurses Caring Behavior. Mater Sociomed. 2021;33(1):34-40. </w:t>
                  </w:r>
                </w:p>
                <w:p w14:paraId="7D816BA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hyperlink r:id="rId15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https://doi.org/10.5455/msm.2021.33.34-40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</w:t>
                  </w:r>
                </w:p>
                <w:p w14:paraId="690AC552" w14:textId="77777777" w:rsidR="000F6E7F" w:rsidRP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Fradelos EC, Papastavrou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E,Alikakou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S, Zyga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S.Psychometric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properties of the 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Greek version of the Caring Behaviors Inventory-16. Cureus. 2021;13(5</w:t>
                  </w:r>
                  <w:proofErr w:type="gramStart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):e</w:t>
                  </w:r>
                  <w:proofErr w:type="gramEnd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15186. </w:t>
                  </w:r>
                </w:p>
                <w:p w14:paraId="5D40BFB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hyperlink r:id="rId16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https://doi.org/10.7759/cureus.15186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.</w:t>
                  </w:r>
                </w:p>
                <w:p w14:paraId="1807C306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 EC,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Latsou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D,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Papathanasiou IV,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Roupa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A,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Balang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V, Tsaras K, </w:t>
                  </w:r>
                </w:p>
                <w:p w14:paraId="7CD17419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Papagiannis D, Tzavella F. Greek nurses' perception of hospital ethical climate: </w:t>
                  </w:r>
                </w:p>
                <w:p w14:paraId="0A5FE8C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A cross-sectional study. Adv Exp Med Biol.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2021;1337:17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-25. </w:t>
                  </w:r>
                </w:p>
                <w:p w14:paraId="1C710FC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hyperlink r:id="rId17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https://doi.org/10.1007/978-3-030-78771-4_3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.</w:t>
                  </w:r>
                </w:p>
                <w:p w14:paraId="38761836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Gerogianni G, Polikandrioti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Vasilopoulos G, Zartaloudi A, Koutelekos I, </w:t>
                  </w:r>
                </w:p>
                <w:p w14:paraId="258B92D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Kalafatakis F, Babatsikou F. Factors affecting anxiety and depression in caregivers of </w:t>
                  </w:r>
                </w:p>
                <w:p w14:paraId="768CA63B" w14:textId="77777777" w:rsidR="000F6E7F" w:rsidRDefault="000F6E7F" w:rsidP="000F6E7F">
                  <w:pPr>
                    <w:pStyle w:val="Default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    hemodialysis patients. Adv Exp Med Biol.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2021;1337:47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-58. </w:t>
                  </w:r>
                </w:p>
                <w:p w14:paraId="0CD20FC3" w14:textId="77777777" w:rsidR="000F6E7F" w:rsidRDefault="000F6E7F" w:rsidP="000F6E7F">
                  <w:pPr>
                    <w:pStyle w:val="Default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lastRenderedPageBreak/>
                    <w:t xml:space="preserve">      </w:t>
                  </w:r>
                  <w:hyperlink r:id="rId18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https://doi.org/10.1007/978-3-030-78771-4_6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 </w:t>
                  </w:r>
                </w:p>
                <w:p w14:paraId="71B355B9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 EC,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Tsaras K, Papathanasiou IV, Tzavella F, Papagiannis D, Zyga </w:t>
                  </w:r>
                </w:p>
                <w:p w14:paraId="07EC88A8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S. The effect of spirituality in quality of life of hemodialysis patients. J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Relig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Health. </w:t>
                  </w:r>
                </w:p>
                <w:p w14:paraId="18433E9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2021. </w:t>
                  </w:r>
                  <w:hyperlink r:id="rId19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https://doi.org/10.1007/s10943-020-01153-x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</w:t>
                  </w:r>
                </w:p>
                <w:p w14:paraId="66C605F8" w14:textId="77777777" w:rsidR="000F6E7F" w:rsidRPr="009D2559" w:rsidRDefault="000F6E7F" w:rsidP="009D2559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 EC,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Balta K, Živanović D, Javorac J, Papagiannis D, Tzavella F, Tsaras K, Papathanasiou IV, Zyga S. The 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effect of spirituality on illness perceptions in patients undergoing hemodialysis.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Adv Exp Med Biol. </w:t>
                  </w:r>
                  <w:proofErr w:type="gramStart"/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2021;1337:65</w:t>
                  </w:r>
                  <w:proofErr w:type="gramEnd"/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-75. </w:t>
                  </w:r>
                  <w:hyperlink r:id="rId20" w:history="1">
                    <w:r w:rsidRPr="009D2559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GB"/>
                      </w:rPr>
                      <w:t>https://doi.org/10.1007/978-3-030-78771-4_8</w:t>
                    </w:r>
                  </w:hyperlink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.</w:t>
                  </w:r>
                  <w:r w:rsidRPr="009D2559">
                    <w:rPr>
                      <w:lang w:val="en-GB"/>
                    </w:rPr>
                    <w:t xml:space="preserve"> </w:t>
                  </w:r>
                  <w:r w:rsidRPr="009D2559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 </w:t>
                  </w:r>
                </w:p>
                <w:p w14:paraId="55DFDB60" w14:textId="77777777" w:rsidR="000F6E7F" w:rsidRP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Fradelos EC,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GB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, Tsaras K, Papathanasiou IV, Tzavella F, Papagiannis D, Zyga S. 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Assessment of psychological distress in end stage renal disease: is it spirituality </w:t>
                  </w:r>
                </w:p>
                <w:p w14:paraId="07EFDB61" w14:textId="77777777" w:rsidR="000F6E7F" w:rsidRDefault="000F6E7F" w:rsidP="004E1DB4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related? Medicine and </w:t>
                  </w:r>
                  <w:r w:rsidR="004E1DB4"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>Pharmacy Reports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GB"/>
                    </w:rPr>
                    <w:t xml:space="preserve">. 2021. 94(1), 79–87. </w:t>
                  </w:r>
                </w:p>
                <w:p w14:paraId="17BFC220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Papathanasiou IV,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Christidou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A,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Alikari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,Tsaras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K,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Malli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F,Papagiannis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D, </w:t>
                  </w:r>
                </w:p>
                <w:p w14:paraId="32870DB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Kontopoulou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LB, Kourkouta L, Fradelos ΕC. The effect of emotional intelligence on </w:t>
                  </w:r>
                </w:p>
                <w:p w14:paraId="0225A88E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caring behaviors among psychiatric nurses in Greece: emotional intelligence and</w:t>
                  </w:r>
                </w:p>
                <w:p w14:paraId="79C01438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caring behaviors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in  mental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Healthcare. Adv Exp Med Biol.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2021;1337:217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-225. </w:t>
                  </w:r>
                </w:p>
                <w:p w14:paraId="58D490D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21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https://doi.org/10.1007/978-3-030-78771-4_25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6DC69466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Fradelos EC,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Vus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V, Papathanasiou IV, Tsaras K, Tzavella F,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Lekka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D. </w:t>
                  </w:r>
                </w:p>
                <w:p w14:paraId="763801A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Assessment of the relation between religiosity, anxiety, depression and psychological </w:t>
                  </w:r>
                </w:p>
                <w:p w14:paraId="5DA3E2B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resilience in nursing staff. Health Psychology Research. 2020; 8(1): 8234. </w:t>
                  </w:r>
                </w:p>
                <w:p w14:paraId="733C92B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22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https://doi.org/10.4081/hpr.2020.8234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75D55E54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Gerogianni G, Polikandrioti M, Babatsikou F, Zyga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Vasilopoulos G, Gerogianni 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S, </w:t>
                  </w:r>
                  <w:proofErr w:type="spellStart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Grapsa</w:t>
                  </w:r>
                  <w:proofErr w:type="spellEnd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E. Anxiety-depression of dialysis patients and their caregivers. </w:t>
                  </w:r>
                  <w:proofErr w:type="spellStart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Medicina</w:t>
                  </w:r>
                  <w:proofErr w:type="spellEnd"/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(Kaunas, Lithuania). 2019;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55(5):168.</w:t>
                  </w:r>
                  <w:hyperlink r:id="rId23" w:history="1">
                    <w:r w:rsidR="00B93E83" w:rsidRPr="006D76FF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https://doi.org/10.3390/medicina55050168</w:t>
                    </w:r>
                  </w:hyperlink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1590B36E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Polikandrioti M, Vasilopoulos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G,Koutelekos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I,Panoutsopoulos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G,Gerogianni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G,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Alikari </w:t>
                  </w:r>
                </w:p>
                <w:p w14:paraId="6B4040A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Dousis E, Zartaloudi A. Depression in diabetic foot ulcer: Associated factors and </w:t>
                  </w:r>
                </w:p>
                <w:p w14:paraId="1AFC26C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the impact of perceived social support and anxiety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on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depression. Int. Wound </w:t>
                  </w:r>
                </w:p>
                <w:p w14:paraId="56683C1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J. 2020; 7(4): 900-909. </w:t>
                  </w:r>
                  <w:hyperlink r:id="rId24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https://doi.org/10.1111/iwj.13348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  </w:t>
                  </w:r>
                </w:p>
                <w:p w14:paraId="77D6271A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Lavdaniti 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Patrikou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P,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Prapa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PM,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Vastardi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M, Fradelos EC, Papathanasiou IV, </w:t>
                  </w:r>
                </w:p>
                <w:p w14:paraId="6DA70E19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Tzavella F,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Tzavelas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G. A cross-sectional study for assessing perceived </w:t>
                  </w:r>
                </w:p>
                <w:p w14:paraId="3CD4C67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symptoms, depression and quality of life in advanced lung cancer patients. </w:t>
                  </w:r>
                </w:p>
                <w:p w14:paraId="49CDFCD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JBUON 2021; 26(5): 1824-1831. </w:t>
                  </w:r>
                </w:p>
                <w:p w14:paraId="7E6AE1B5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Fradelos E,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Alexandropoulou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CA,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Kontopoulou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L,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Papagiannis D, Tsaras Κ, </w:t>
                  </w:r>
                </w:p>
                <w:p w14:paraId="6561CFC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Papathanasiou IV. The effect of hospital ethical climate on nurses' work‐related </w:t>
                  </w:r>
                </w:p>
                <w:p w14:paraId="746C8B82" w14:textId="77777777" w:rsidR="000F6E7F" w:rsidRDefault="000F6E7F" w:rsidP="00F513D3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quality of life: A cross‐sectional study. Nursing Forum, 2021, 1-8. </w:t>
                  </w:r>
                </w:p>
                <w:p w14:paraId="0330FD5B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Adamopoulou F,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 Zyga S, Tsironi M, Tzavella F, Giannakopoulou N,</w:t>
                  </w:r>
                </w:p>
                <w:p w14:paraId="09743ABE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Theofilou P. The effect of fatigue and pain self- efficacy on health-related quality of</w:t>
                  </w:r>
                </w:p>
                <w:p w14:paraId="4AFE44B8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life among patients with multiple sclerosis. Mater Sociomed. 2019; 31(1): 40-44. </w:t>
                  </w:r>
                </w:p>
                <w:p w14:paraId="179F326F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V, Tsironi M, Matziou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V,Tzavella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F, Stathoulis J, Babatsikou F, Fradelos E,</w:t>
                  </w:r>
                </w:p>
                <w:p w14:paraId="515E909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Zyga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S.The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impact of education on knowledge, adherence and quality of life among </w:t>
                  </w:r>
                </w:p>
                <w:p w14:paraId="33DD902D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patients on haemodialysis. Qual Life Res. 2019; 28(1):73-83. </w:t>
                  </w:r>
                </w:p>
                <w:p w14:paraId="55F0E55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25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https://doi.org/10.1007/s11136-018-1989-y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159B1007" w14:textId="77777777" w:rsidR="000F6E7F" w:rsidRPr="00B93E83" w:rsidRDefault="000F6E7F" w:rsidP="00B93E83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Kasdovasilis P,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 Zyga S, Guppy A, Theofilou P.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Film clips smoking behavior and </w:t>
                  </w:r>
                  <w:r w:rsidRPr="00B93E8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nicotine craving: The interrelationship between stress, smoking cues and craving. </w:t>
                  </w:r>
                </w:p>
                <w:p w14:paraId="78C292B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Psychiatriki, 2019; 30(3): 226-234. </w:t>
                  </w:r>
                  <w:hyperlink r:id="rId26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https://doi.org/10.22365/jpsych.2019.303.226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5B835CD5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Fanakidou I, Zyga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Tsironi M, Stathoulis J, Theofilou P. Mental health, </w:t>
                  </w:r>
                </w:p>
                <w:p w14:paraId="598D360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loneliness, and illness perception outcomes in quality of life among young breast </w:t>
                  </w:r>
                </w:p>
                <w:p w14:paraId="195DFABE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cancer patients after mastectomy: the role of breast reconstruction. Qual Life Res. </w:t>
                  </w:r>
                </w:p>
                <w:p w14:paraId="456902D8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2018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;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27(2):539-543. </w:t>
                  </w:r>
                  <w:hyperlink r:id="rId27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https://doi.org/10.1007/s11136-017-1735-x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689EFEAB" w14:textId="77777777" w:rsidR="000F6E7F" w:rsidRDefault="000F6E7F" w:rsidP="000F6E7F">
                  <w:pPr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  <w:t xml:space="preserve">Tzeletopoulou A, Alikari V, Zyga S, Tsironi M, Lavdaniti M, Theofilou P. Are burnout </w:t>
                  </w:r>
                </w:p>
                <w:p w14:paraId="369CDD08" w14:textId="77777777" w:rsidR="000F6E7F" w:rsidRDefault="000F6E7F" w:rsidP="000F6E7F">
                  <w:pPr>
                    <w:ind w:left="360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  <w:t xml:space="preserve">syndrome and depression predictors for aggressive behavior among mental health </w:t>
                  </w:r>
                </w:p>
                <w:p w14:paraId="3AD85FDC" w14:textId="77777777" w:rsidR="000F6E7F" w:rsidRDefault="000F6E7F" w:rsidP="000F6E7F">
                  <w:pPr>
                    <w:ind w:left="360"/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</w:pPr>
                  <w:r>
                    <w:rPr>
                      <w:rFonts w:ascii="Tahoma" w:hAnsi="Tahoma" w:cs="Tahoma"/>
                      <w:color w:val="000000"/>
                      <w:sz w:val="21"/>
                      <w:szCs w:val="21"/>
                      <w:lang w:val="en-US" w:eastAsia="el-GR"/>
                    </w:rPr>
                    <w:t>care professionals? Med Arch. 2018;72(4):244-248.</w:t>
                  </w:r>
                </w:p>
                <w:p w14:paraId="19E2609A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Tsironi M, Matziou V, Babatsikou F, Psillakis K, Fradelos E, Zyga S. </w:t>
                  </w:r>
                </w:p>
                <w:p w14:paraId="1CA0BA1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Adherence to therapeutic regimen in adult patients undergoing hemodialysis: the </w:t>
                  </w:r>
                </w:p>
                <w:p w14:paraId="5D0F6BB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lastRenderedPageBreak/>
                    <w:t xml:space="preserve">role of demographic and clinical characteristics. Int Arch Nurs Health Care. 2018; </w:t>
                  </w:r>
                </w:p>
                <w:p w14:paraId="33A3BB7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4:096, </w:t>
                  </w:r>
                  <w:hyperlink r:id="rId28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http://doi.org/10.23937/2469-5823/1510096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2B5AE333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Matziou V, Tsironi M,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Kollia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N, Theofilou P, Aroni A, Fradelos E, Zyga S. A </w:t>
                  </w:r>
                </w:p>
                <w:p w14:paraId="58CAECC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modified version of the Greek Simplified Medication Adherence Questionnaire for </w:t>
                  </w:r>
                </w:p>
                <w:p w14:paraId="7BE957B0" w14:textId="77777777" w:rsidR="000F6E7F" w:rsidRDefault="000F6E7F" w:rsidP="000F6E7F">
                  <w:pPr>
                    <w:pStyle w:val="Default"/>
                    <w:ind w:left="360"/>
                    <w:rPr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hemodialysis patients. Health Psychology Research. 2017; 5(1): 6647.</w:t>
                  </w:r>
                </w:p>
                <w:p w14:paraId="41D60841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Lymperopoulos G, Lymperopoulos P,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Dafogianni C, Zyga S,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Margari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N. </w:t>
                  </w:r>
                </w:p>
                <w:p w14:paraId="4B076F4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Application of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theranostics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in oncology. Adv Exp Med Biol. 2017; 989:119-128. </w:t>
                  </w:r>
                </w:p>
                <w:p w14:paraId="774472BE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Lymperopoulos G, Lymperopoulos P,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Dafogianni C, Zyga S,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Margari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N. </w:t>
                  </w:r>
                </w:p>
                <w:p w14:paraId="17F2EA9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Applications for Electrical Impedance Tomography (EIT) and electrical properties of </w:t>
                  </w:r>
                </w:p>
                <w:p w14:paraId="5D1DAD2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The human body. Adv Exp Med Biol. 2017; 989:109-117. </w:t>
                  </w:r>
                </w:p>
                <w:p w14:paraId="56883091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Stathoulis J, Tsironi Μ,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Konofaos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Ν, Zyga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Fradelos EC,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Bakola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H, </w:t>
                  </w:r>
                </w:p>
                <w:p w14:paraId="41BC197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Panoutsopoulos G. Evaluation of pulse oximetry knowledge of Greek registered </w:t>
                  </w:r>
                </w:p>
                <w:p w14:paraId="682AE969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nurses. Adv Exp Med Biol. 2017; 988:89-96. </w:t>
                  </w:r>
                </w:p>
                <w:p w14:paraId="51495DE6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V, Sachlas A, Giatrakou S, Stathoulis J, Fradelos EC, Theofilou P, Lavdaniti M, </w:t>
                  </w:r>
                </w:p>
                <w:p w14:paraId="06A42AF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Zyga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S.Fatigue</w:t>
                  </w:r>
                  <w:proofErr w:type="spellEnd"/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in Arthritis: A multidimensional phenomenon with impact on quality of </w:t>
                  </w:r>
                </w:p>
                <w:p w14:paraId="6310A9C8" w14:textId="77777777" w:rsidR="000F6E7F" w:rsidRDefault="000F6E7F" w:rsidP="000F6E7F">
                  <w:pPr>
                    <w:pStyle w:val="Default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     life.</w:t>
                  </w:r>
                  <w:r w:rsidR="00B93E83" w:rsidRPr="00F513D3">
                    <w:rPr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Adv</w:t>
                  </w:r>
                  <w:r w:rsidR="00F513D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Exp</w:t>
                  </w:r>
                  <w:r w:rsidR="00F513D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Med</w:t>
                  </w:r>
                  <w:r w:rsidR="00F513D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Biol.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2017;987:243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-256.</w:t>
                  </w:r>
                  <w:r w:rsidR="00F513D3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</w:p>
                <w:p w14:paraId="114E4104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Lavdaniti M, Fradelos EC,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Troxoutsou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K, Zioga E, Mitsi D,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Zyga S. </w:t>
                  </w:r>
                </w:p>
                <w:p w14:paraId="0220E46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Symptoms in advanced cancer patients in a Greek hospital: a descriptive study. Asian </w:t>
                  </w:r>
                </w:p>
                <w:p w14:paraId="42E66AB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Pacific Journal of Cancer Prevention.2018; 19(4): 1047-1052. </w:t>
                  </w:r>
                </w:p>
                <w:p w14:paraId="1C9852D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29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http://doi.org/10.22034/APJCP.2018.19.4.1047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1AAEA540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Patra P,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Fradelos EC, Sachlas A, Kourakos M, Rojas Gil AP, Babatsikou F, </w:t>
                  </w:r>
                </w:p>
                <w:p w14:paraId="390642F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Zyga S. Assessment of depression in elderly. Is perceived social support related? A</w:t>
                  </w:r>
                </w:p>
                <w:p w14:paraId="4044F3B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nursing home study. Adv Exp Med Biol. 2017; 987:139-150. </w:t>
                  </w:r>
                </w:p>
                <w:p w14:paraId="3045E34F" w14:textId="77777777" w:rsidR="000F6E7F" w:rsidRP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0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http://doi.org/10.1007/978-3-319-57379-3_13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042E19E8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Alexopoulou M, Giannakopoulou N, Komna E, </w:t>
                  </w:r>
                  <w:r>
                    <w:rPr>
                      <w:rFonts w:ascii="Tahoma" w:hAnsi="Tahoma" w:cs="Tahoma"/>
                      <w:b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>Alikari</w:t>
                  </w:r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 V, Toulia G, Polikandrioti M. </w:t>
                  </w:r>
                </w:p>
                <w:p w14:paraId="77A4825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>The effect of perceived social support on hemodialysis patients' quality of life.</w:t>
                  </w:r>
                </w:p>
                <w:p w14:paraId="7D29321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>Mater Sociomed.2016 Oct;28(5</w:t>
                  </w:r>
                  <w:proofErr w:type="gramStart"/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>):338-342.doi</w:t>
                  </w:r>
                  <w:proofErr w:type="gramEnd"/>
                  <w:r>
                    <w:rPr>
                      <w:rFonts w:ascii="Tahoma" w:hAnsi="Tahoma" w:cs="Tahoma"/>
                      <w:color w:val="303030"/>
                      <w:sz w:val="21"/>
                      <w:szCs w:val="21"/>
                      <w:shd w:val="clear" w:color="auto" w:fill="FFFFFF"/>
                      <w:lang w:val="en-US"/>
                    </w:rPr>
                    <w:t>: 10.5455/msm.2016.28.338-342</w:t>
                  </w:r>
                </w:p>
                <w:p w14:paraId="3074CC78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Fradelos EC, Tzavella F, Koukia E, Tsaras K, Papathanasiou IV, Aroni A,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</w:t>
                  </w:r>
                </w:p>
                <w:p w14:paraId="0BD4DF2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Ralli M, Bredle J, Zyga S. The translation, validation and cultural adaptation of </w:t>
                  </w:r>
                </w:p>
                <w:p w14:paraId="0081A08E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functional assessment of chronic illness therapy - spiritual well-being 12 (facit-sp12) </w:t>
                  </w:r>
                </w:p>
                <w:p w14:paraId="07F922B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scale in Greek language. Mater Sociomed. 2016;28(3):229-34. </w:t>
                  </w:r>
                </w:p>
                <w:p w14:paraId="7BB5394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1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http://doi.org/10.5455/msm.2016.28.229-234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7263D8C8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Zyga S,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Mitrousi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Sachlas A, Stathoulis J, Fradelos E, Panoutsopoulos G, </w:t>
                  </w:r>
                </w:p>
                <w:p w14:paraId="7B8073D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Maria L. assessing factors that affect coping strategies among nursing personnel. </w:t>
                  </w:r>
                </w:p>
                <w:p w14:paraId="09E97480" w14:textId="77777777" w:rsidR="009D2559" w:rsidRDefault="000F6E7F" w:rsidP="009D2559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Mater Sociomed. 2016 Apr;28(2):146-50. </w:t>
                  </w:r>
                </w:p>
                <w:p w14:paraId="5C27012E" w14:textId="77777777" w:rsidR="000F6E7F" w:rsidRDefault="009D2559" w:rsidP="009D2559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2" w:history="1">
                    <w:r w:rsidRPr="005532A7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http://doi.org/10.5455/msm.2016.28.146-150</w:t>
                    </w:r>
                  </w:hyperlink>
                  <w:r w:rsid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5F6521C4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Zyga S, </w:t>
                  </w:r>
                  <w:r>
                    <w:rPr>
                      <w:rFonts w:ascii="Tahoma" w:hAnsi="Tahoma" w:cs="Tahoma"/>
                      <w:b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, Sachlas A, Stathoulis J, Aroni A, Theofilou P, Panoutsopoulos G. </w:t>
                  </w:r>
                </w:p>
                <w:p w14:paraId="45CD5729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Management of pain and quality of life in patients with chronic kidney disease </w:t>
                  </w:r>
                </w:p>
                <w:p w14:paraId="71959C8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</w:pPr>
                  <w:r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 xml:space="preserve">undergoing hemodialysis. Pain Manag Nurs. 2015;16(5):712-20. </w:t>
                  </w:r>
                </w:p>
                <w:p w14:paraId="13A1EE30" w14:textId="77777777" w:rsidR="000F6E7F" w:rsidRDefault="000F6E7F" w:rsidP="009D2559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3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shd w:val="clear" w:color="auto" w:fill="FFFFFF"/>
                        <w:lang w:val="en-US"/>
                      </w:rPr>
                      <w:t>http://doi.org/10.1016/j.pmn.2015.03.004</w:t>
                    </w:r>
                  </w:hyperlink>
                  <w:r>
                    <w:rPr>
                      <w:rFonts w:ascii="Tahoma" w:hAnsi="Tahoma" w:cs="Tahoma"/>
                      <w:color w:val="212121"/>
                      <w:sz w:val="21"/>
                      <w:szCs w:val="21"/>
                      <w:shd w:val="clear" w:color="auto" w:fill="FFFFFF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Fradelos E, Tzavella F, Koukia E, Papathanasiou I,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 Stathoulis J, Panoutsopoulos G, Zyga S. Integrating chronic kidney disease patient’s spirituality in their care: health benefits and research perspectives. Mater Sociomed. 2015; 27(5):354-358.</w:t>
                  </w:r>
                  <w:hyperlink r:id="rId34" w:history="1">
                    <w:r w:rsidR="00B93E83" w:rsidRPr="006D76FF"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http://doi.org/10.5455/msm.2015.27.354-358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463B5B83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Zyga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Sachlas A, Fradelos E, Stathoulis J, Panoutsopoulos G, </w:t>
                  </w:r>
                </w:p>
                <w:p w14:paraId="6E3293A4" w14:textId="77777777" w:rsidR="000F6E7F" w:rsidRDefault="000F6E7F" w:rsidP="00B93E83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Georgopoulou M, Theophilou P, Lavdaniti M. Assessment of fatigue in end stage renal disease Patients undergoing hemodialysis: prevalence and associated factors. Medical </w:t>
                  </w:r>
                </w:p>
                <w:p w14:paraId="2556FFB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Archives. 2015; 69(6):376-380. </w:t>
                  </w:r>
                  <w:hyperlink r:id="rId35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http://doi.org/10.5455/medarh.2015.69.376-380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159D53DF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Kousoula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G,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Lagou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L, Lena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Theofilou P, Polikandrioti M. Quality of life </w:t>
                  </w:r>
                </w:p>
                <w:p w14:paraId="4FA7488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in hemodialysis patients. Mater Sociomed. 2015; 27(5): 305–309. </w:t>
                  </w:r>
                </w:p>
                <w:p w14:paraId="5F9778C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6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http://doi.org/10.5455/msm.2015.27.305-309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51015A89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Skoulatou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Toulia G, Kavga A,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Govina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O,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Siopi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D, Zormba I, Skoulatou </w:t>
                  </w:r>
                </w:p>
                <w:p w14:paraId="3BFB175B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C, Gerogianni G.  Efficacy of antimicrobial lock solutions against catheter-related </w:t>
                  </w:r>
                </w:p>
                <w:p w14:paraId="2ABBD2E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infections in hemodialysis patients. Global Journal of Health Science. 2021; 13(4):</w:t>
                  </w:r>
                </w:p>
                <w:p w14:paraId="0295CCE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lastRenderedPageBreak/>
                    <w:t xml:space="preserve">72-85. </w:t>
                  </w:r>
                  <w:hyperlink r:id="rId37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http://doi.org/10.5539/gjhs.v13n4p72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47E227C9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Goula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I,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Charalampous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G, Tzavella F, Zyga S, Tsironi M, Theofilou P. </w:t>
                  </w:r>
                </w:p>
                <w:p w14:paraId="4A1D258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(2020). Social support and quality of life in Greek women with breast cancer during </w:t>
                  </w:r>
                </w:p>
                <w:p w14:paraId="5B34D4C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chemotherapy and two years later. Health Psychology Report. 8(2): 97-106. </w:t>
                  </w:r>
                </w:p>
                <w:p w14:paraId="14D2B281" w14:textId="77777777" w:rsidR="000F6E7F" w:rsidRP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8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http://doi.org/10.5114/hpr.2020.93757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7216AFCA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Anterrioti Ch,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Kelesi, M. (2020). The effect of the burden of patient care </w:t>
                  </w:r>
                </w:p>
                <w:p w14:paraId="6B62C9AC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with cancer on family caregivers. Progress in Health Sciences. 10(1):102-107. </w:t>
                  </w:r>
                </w:p>
                <w:p w14:paraId="47DFBDE6" w14:textId="77777777" w:rsidR="000F6E7F" w:rsidRP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hyperlink r:id="rId39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http://doi.org/10.5604/01.3001.0014.1915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6D85087A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Theofilou P, Stefanidou M, Giannakopoulou N, Tzavella F, Zyga S, Tsironi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Alikari </w:t>
                  </w:r>
                </w:p>
                <w:p w14:paraId="23A32E0D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The effect of perceived social support on the quality of life of hemodialysis </w:t>
                  </w:r>
                </w:p>
                <w:p w14:paraId="462A7AC5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patients. A preliminary study. Progress in Health Sciences. 2020; 10(1):19-25. </w:t>
                  </w:r>
                </w:p>
                <w:p w14:paraId="66B4AD6F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40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http://doi.org/10.5604/01.3001.0014.1912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3C6E5B4F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Giournta AM,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Platis C, Oikonomopoulou G, Alefragkis D, Theofilou P. </w:t>
                  </w:r>
                </w:p>
                <w:p w14:paraId="70B1B35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(2020). Assessing the quality of life and depression among patients with heart </w:t>
                  </w:r>
                </w:p>
                <w:p w14:paraId="6C3957E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failure and heart attack. Health Psychology Report. 8(3): 211-218. </w:t>
                  </w:r>
                </w:p>
                <w:p w14:paraId="6EED661F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Makris D,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Zyga S, Tsironi M, Patelarou A, Platis Ch, Theofilou P. </w:t>
                  </w:r>
                </w:p>
                <w:p w14:paraId="2473983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Predictors of personal accomplishment among the professionals working in </w:t>
                  </w:r>
                </w:p>
                <w:p w14:paraId="01A25D0E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community mental health settings. Journal of Behavioral Health. 2020; 9(1):274-299.</w:t>
                  </w:r>
                </w:p>
                <w:p w14:paraId="4CD89FFA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Nikolaou I,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 Tzavella F, Zyga S, Tsironi M, Theofilou P. Predictors of anxiety</w:t>
                  </w:r>
                </w:p>
                <w:p w14:paraId="2D7E1503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and depressive symptoms among Greek nurses. Journal of Health Sciences. </w:t>
                  </w:r>
                </w:p>
                <w:p w14:paraId="58F8D53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2020;10(1):90-98. </w:t>
                  </w:r>
                  <w:hyperlink r:id="rId41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https://doi.org/10.17532/jhsci.2020.856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</w:t>
                  </w:r>
                </w:p>
                <w:p w14:paraId="5D17FFCF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Chastali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-Sitara M,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Platis Ch, Tsironi M, Zyga S, Theofilou P. Association </w:t>
                  </w:r>
                </w:p>
                <w:p w14:paraId="7CBD92D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between perceived social support and occupational burnout in Greek nurses: </w:t>
                  </w:r>
                </w:p>
                <w:p w14:paraId="0FB66E57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 preliminary study. Progress in Health Sciences. 2020; 10 (2): 22-28.</w:t>
                  </w:r>
                </w:p>
                <w:p w14:paraId="64B3B062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42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http://doi.org/org/10.5604/01.3001.0014.6583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5C8282F4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Benetou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S,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Tsirigotis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S, Dousis E,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Evangelou E, Koutelekos I, Zartaloudi A, </w:t>
                  </w:r>
                </w:p>
                <w:p w14:paraId="15E6C54D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Gerogianni G. Concerns of hemodialysis patients. Health &amp; Research Journal. </w:t>
                  </w:r>
                </w:p>
                <w:p w14:paraId="512BDBB6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2020; 6(2): 56-65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  <w:hyperlink r:id="rId43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https://doi.org/10.12681/healthresj.23316</w:t>
                    </w:r>
                  </w:hyperlink>
                </w:p>
                <w:p w14:paraId="1A98AC90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Kouris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Gerali M, Dafogianni C. Investigating doctor views on e-health </w:t>
                  </w:r>
                </w:p>
                <w:p w14:paraId="6E20C2D0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cards. International Journal of Reliable and Quality E-Healthcare. 2020; 9(3): 35-51. </w:t>
                  </w:r>
                </w:p>
                <w:p w14:paraId="79DE8FBC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hyperlink r:id="rId44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http://doi.org/10.4018/IJRQEH.2020070103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6A3D07F8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Sfikas S,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, Kourti FE, Dafogianni Ch. Burnout syndrome in Greek doctors:</w:t>
                  </w:r>
                  <w:r w:rsidR="009D2559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the</w:t>
                  </w:r>
                </w:p>
                <w:p w14:paraId="4267ABDB" w14:textId="77777777" w:rsidR="000F6E7F" w:rsidRPr="00356C9C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role of specialty. International Journal of Reliable and Quality E-Healthcare. 2021; </w:t>
                  </w:r>
                </w:p>
                <w:p w14:paraId="1E38C694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10(1): 41-52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</w:t>
                  </w:r>
                  <w:hyperlink r:id="rId45" w:history="1">
                    <w:r>
                      <w:rPr>
                        <w:rStyle w:val="-"/>
                        <w:rFonts w:ascii="Tahoma" w:hAnsi="Tahoma" w:cs="Tahoma"/>
                        <w:sz w:val="21"/>
                        <w:szCs w:val="21"/>
                        <w:lang w:val="en-US"/>
                      </w:rPr>
                      <w:t>http://doi.org/10.4018/IJRQEH.2021010104</w:t>
                    </w:r>
                  </w:hyperlink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. </w:t>
                  </w:r>
                </w:p>
                <w:p w14:paraId="0326E354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Alikari V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, Tsironi M, Matziou V, Tzavella F, Fradelos E, S. Zyga S. Reliability and </w:t>
                  </w:r>
                </w:p>
                <w:p w14:paraId="05EBAC8A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validity of the Kidney Disease Questionnaire among Greek patients undergoing </w:t>
                  </w:r>
                </w:p>
                <w:p w14:paraId="3D46E541" w14:textId="77777777" w:rsidR="000F6E7F" w:rsidRDefault="000F6E7F" w:rsidP="000F6E7F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hemodialysis. American Journal of Nursing Science. 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2018; 7 (3-1): 97-102. </w:t>
                  </w:r>
                </w:p>
                <w:p w14:paraId="63D5C525" w14:textId="77777777" w:rsidR="000F6E7F" w:rsidRDefault="000F6E7F" w:rsidP="000F6E7F">
                  <w:pPr>
                    <w:pStyle w:val="Default"/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 xml:space="preserve">      </w:t>
                  </w:r>
                  <w:proofErr w:type="gram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doi:10.11648/j.ajns</w:t>
                  </w:r>
                  <w:proofErr w:type="gramEnd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.s.2018070301.24.</w:t>
                  </w:r>
                </w:p>
                <w:p w14:paraId="1AF9057E" w14:textId="77777777" w:rsidR="000F6E7F" w:rsidRDefault="000F6E7F" w:rsidP="000F6E7F">
                  <w:pPr>
                    <w:pStyle w:val="Default"/>
                    <w:rPr>
                      <w:rFonts w:ascii="Tahoma" w:hAnsi="Tahoma" w:cs="Tahoma"/>
                      <w:b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>B</w:t>
                  </w:r>
                  <w:r w:rsidRPr="000F6E7F">
                    <w:rPr>
                      <w:rFonts w:ascii="Tahoma" w:hAnsi="Tahoma" w:cs="Tahoma"/>
                      <w:b/>
                      <w:sz w:val="21"/>
                      <w:szCs w:val="21"/>
                      <w:lang w:val="en-US"/>
                    </w:rPr>
                    <w:t xml:space="preserve">. 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</w:rPr>
                    <w:t>Δημοσιεύσεις σε ελληνικά επιστημονικά περιοδικά</w:t>
                  </w:r>
                </w:p>
                <w:p w14:paraId="5E547F93" w14:textId="77777777" w:rsidR="000F6E7F" w:rsidRDefault="000F6E7F" w:rsidP="000F6E7F">
                  <w:pPr>
                    <w:pStyle w:val="Default"/>
                    <w:numPr>
                      <w:ilvl w:val="0"/>
                      <w:numId w:val="49"/>
                    </w:numPr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Αλιμπέρτη Α, Τσιρώνη Μ,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Ρόχας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Χιλ Ανδρέα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Παόλα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ahoma" w:hAnsi="Tahoma" w:cs="Tahoma"/>
                      <w:b/>
                      <w:sz w:val="21"/>
                      <w:szCs w:val="21"/>
                    </w:rPr>
                    <w:t>Αλικάρη Β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</w:rPr>
                    <w:t>Κυράνου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Μ, Ζυγά Σ. </w:t>
                  </w:r>
                </w:p>
                <w:p w14:paraId="6AAF0B35" w14:textId="77777777" w:rsidR="000F6E7F" w:rsidRPr="00B93E83" w:rsidRDefault="000F6E7F" w:rsidP="00B93E83">
                  <w:pPr>
                    <w:pStyle w:val="Default"/>
                    <w:ind w:left="360"/>
                    <w:rPr>
                      <w:rFonts w:ascii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Διαταραχή Επιπέδων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ApoA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ApoB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Lp</w:t>
                  </w:r>
                  <w:proofErr w:type="spellEnd"/>
                  <w:r>
                    <w:rPr>
                      <w:rFonts w:ascii="Tahoma" w:hAnsi="Tahoma" w:cs="Tahoma"/>
                      <w:sz w:val="21"/>
                      <w:szCs w:val="21"/>
                    </w:rPr>
                    <w:t>(</w:t>
                  </w:r>
                  <w:r>
                    <w:rPr>
                      <w:rFonts w:ascii="Tahoma" w:hAnsi="Tahoma" w:cs="Tahoma"/>
                      <w:sz w:val="21"/>
                      <w:szCs w:val="21"/>
                      <w:lang w:val="en-US"/>
                    </w:rPr>
                    <w:t>a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) σε ασθενείς με κακοήθη νεοπλάσματα </w:t>
                  </w:r>
                  <w:r w:rsidR="00B93E83">
                    <w:rPr>
                      <w:rFonts w:ascii="Tahoma" w:hAnsi="Tahoma" w:cs="Tahoma"/>
                      <w:sz w:val="21"/>
                      <w:szCs w:val="21"/>
                    </w:rPr>
                    <w:t>μ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</w:rPr>
                    <w:t>αστού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 xml:space="preserve"> </w:t>
                  </w:r>
                  <w:r w:rsidRPr="000F6E7F">
                    <w:rPr>
                      <w:rFonts w:ascii="Tahoma" w:hAnsi="Tahoma" w:cs="Tahoma"/>
                      <w:sz w:val="21"/>
                      <w:szCs w:val="21"/>
                    </w:rPr>
                    <w:t xml:space="preserve">κατά τη διάρκεια της χημειοθεραπείας. </w:t>
                  </w:r>
                  <w:r>
                    <w:rPr>
                      <w:rFonts w:ascii="Tahoma" w:hAnsi="Tahoma" w:cs="Tahoma"/>
                      <w:sz w:val="21"/>
                      <w:szCs w:val="21"/>
                    </w:rPr>
                    <w:t>ΝΟΣΗΛΕΥΤΙΚΗ 2021, 60(3): 326–335</w:t>
                  </w:r>
                </w:p>
              </w:tc>
            </w:tr>
            <w:tr w:rsidR="008E5CE7" w:rsidRPr="006F1E6E" w14:paraId="40BBE3AB" w14:textId="77777777" w:rsidTr="000F6E7F">
              <w:trPr>
                <w:trHeight w:val="227"/>
              </w:trPr>
              <w:tc>
                <w:tcPr>
                  <w:tcW w:w="5000" w:type="pct"/>
                  <w:shd w:val="clear" w:color="auto" w:fill="EFEBB5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3F371F63" w14:textId="77777777" w:rsidR="008E5CE7" w:rsidRPr="00500F88" w:rsidRDefault="006F1E6E" w:rsidP="00E50BA9">
                  <w:pPr>
                    <w:pStyle w:val="style44"/>
                    <w:spacing w:line="260" w:lineRule="exact"/>
                    <w:rPr>
                      <w:rFonts w:ascii="Tahoma" w:hAnsi="Tahoma" w:cs="Tahoma"/>
                      <w:b/>
                      <w:bCs/>
                      <w:color w:val="333333"/>
                      <w:sz w:val="21"/>
                      <w:szCs w:val="21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333333"/>
                      <w:sz w:val="21"/>
                      <w:szCs w:val="21"/>
                      <w:lang w:val="el-GR"/>
                    </w:rPr>
                    <w:lastRenderedPageBreak/>
                    <w:t>Συνέδρια-άλλες δραστηριότητες</w:t>
                  </w:r>
                </w:p>
              </w:tc>
            </w:tr>
            <w:tr w:rsidR="008E5CE7" w:rsidRPr="0008325D" w14:paraId="53E767B5" w14:textId="77777777" w:rsidTr="000F6E7F">
              <w:trPr>
                <w:trHeight w:val="264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</w:tcPr>
                <w:p w14:paraId="0319F4A3" w14:textId="77777777" w:rsidR="006F1E6E" w:rsidRPr="00522C84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  <w:t>Συνέδρια</w:t>
                  </w:r>
                </w:p>
                <w:p w14:paraId="15CAB8B4" w14:textId="77777777" w:rsidR="006F1E6E" w:rsidRPr="00522C84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80 ανακοινώσεις και διαλέξεις σε Ελληνικά και διεθνή συνέδρια.</w:t>
                  </w:r>
                </w:p>
                <w:p w14:paraId="1D1CA0AB" w14:textId="77777777" w:rsidR="006F1E6E" w:rsidRPr="004263BD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  <w:t>Συγγραφή μονογραφίας:</w:t>
                  </w:r>
                </w:p>
                <w:p w14:paraId="6E4C9157" w14:textId="77777777" w:rsidR="006F1E6E" w:rsidRPr="004263BD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Αλικάρη Βικτώρια. Αιμοκάθαρση: Απαντήσεις σε συνήθη ερωτήματα. </w:t>
                  </w:r>
                  <w:r w:rsidRPr="004263BD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1η </w:t>
                  </w:r>
                  <w:proofErr w:type="spellStart"/>
                  <w:r w:rsidRPr="004263BD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έκδ</w:t>
                  </w:r>
                  <w:proofErr w:type="spellEnd"/>
                  <w:r w:rsidRPr="004263BD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 – </w:t>
                  </w:r>
                </w:p>
                <w:p w14:paraId="0A70B2EA" w14:textId="77777777" w:rsidR="006F1E6E" w:rsidRPr="00522C84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Αθήνα, 2017, ΒΗΤΑ Ιατρικές Εκδόσεις, 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n-US"/>
                    </w:rPr>
                    <w:t>ISBN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: 978-960-452-236-1.</w:t>
                  </w:r>
                </w:p>
                <w:p w14:paraId="208C7BAC" w14:textId="77777777" w:rsidR="006F1E6E" w:rsidRPr="00522C84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right="187"/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/>
                      <w:bCs/>
                      <w:sz w:val="21"/>
                      <w:szCs w:val="21"/>
                      <w:lang w:val="el-GR"/>
                    </w:rPr>
                    <w:t xml:space="preserve">      Άλλες δραστηριότητες</w:t>
                  </w:r>
                </w:p>
                <w:p w14:paraId="487145F5" w14:textId="77777777" w:rsidR="006F1E6E" w:rsidRPr="00522C84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Μέλος της συντακτικής επιτροπής και κριτής στ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α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 </w:t>
                  </w:r>
                  <w:proofErr w:type="spellStart"/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περιοδικ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α</w:t>
                  </w:r>
                  <w:proofErr w:type="spellEnd"/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 xml:space="preserve"> «Αρχεία Ελληνικής </w:t>
                  </w:r>
                </w:p>
                <w:p w14:paraId="3C95A4FE" w14:textId="77777777" w:rsidR="00635A92" w:rsidRPr="001521EB" w:rsidRDefault="006F1E6E" w:rsidP="006F1E6E">
                  <w:pPr>
                    <w:pStyle w:val="a8"/>
                    <w:tabs>
                      <w:tab w:val="left" w:pos="360"/>
                    </w:tabs>
                    <w:spacing w:after="0"/>
                    <w:ind w:left="360" w:right="187"/>
                    <w:rPr>
                      <w:rFonts w:ascii="Tahoma" w:hAnsi="Tahoma" w:cs="Tahoma"/>
                      <w:bCs/>
                      <w:sz w:val="21"/>
                      <w:szCs w:val="21"/>
                      <w:lang w:val="en-US"/>
                    </w:rPr>
                  </w:pP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Ιατρικής</w:t>
                  </w:r>
                  <w:r w:rsidRPr="002D33D2">
                    <w:rPr>
                      <w:rFonts w:ascii="Tahoma" w:hAnsi="Tahoma" w:cs="Tahoma"/>
                      <w:bCs/>
                      <w:sz w:val="21"/>
                      <w:szCs w:val="21"/>
                      <w:lang w:val="en-US"/>
                    </w:rPr>
                    <w:t>»,  «</w:t>
                  </w:r>
                  <w:r w:rsidRPr="00522C84"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Νοσηλευτική</w:t>
                  </w:r>
                  <w:r w:rsidRPr="002D33D2">
                    <w:rPr>
                      <w:rFonts w:ascii="Tahoma" w:hAnsi="Tahoma" w:cs="Tahoma"/>
                      <w:bCs/>
                      <w:sz w:val="21"/>
                      <w:szCs w:val="21"/>
                      <w:lang w:val="en-US"/>
                    </w:rPr>
                    <w:t xml:space="preserve">» </w:t>
                  </w:r>
                  <w:r>
                    <w:rPr>
                      <w:rFonts w:ascii="Tahoma" w:hAnsi="Tahoma" w:cs="Tahoma"/>
                      <w:bCs/>
                      <w:sz w:val="21"/>
                      <w:szCs w:val="21"/>
                      <w:lang w:val="el-GR"/>
                    </w:rPr>
                    <w:t>και</w:t>
                  </w:r>
                  <w:r w:rsidRPr="002D33D2">
                    <w:rPr>
                      <w:rFonts w:ascii="Tahoma" w:hAnsi="Tahoma" w:cs="Tahoma"/>
                      <w:bCs/>
                      <w:sz w:val="21"/>
                      <w:szCs w:val="21"/>
                      <w:lang w:val="en-US"/>
                    </w:rPr>
                    <w:t xml:space="preserve">  «Global Journal of Health Science».</w:t>
                  </w:r>
                </w:p>
              </w:tc>
            </w:tr>
          </w:tbl>
          <w:p w14:paraId="6F8276DF" w14:textId="77777777" w:rsidR="00922324" w:rsidRPr="0008325D" w:rsidRDefault="00922324">
            <w:pPr>
              <w:spacing w:line="288" w:lineRule="atLeast"/>
              <w:rPr>
                <w:rFonts w:ascii="Verdana" w:hAnsi="Verdana" w:cs="Arial"/>
                <w:color w:val="333333"/>
                <w:sz w:val="18"/>
                <w:szCs w:val="18"/>
                <w:lang w:val="en-US"/>
              </w:rPr>
            </w:pPr>
          </w:p>
        </w:tc>
      </w:tr>
    </w:tbl>
    <w:p w14:paraId="47FEADB0" w14:textId="77777777" w:rsidR="00406919" w:rsidRPr="0008325D" w:rsidRDefault="00406919" w:rsidP="00702D5F">
      <w:pPr>
        <w:rPr>
          <w:rFonts w:ascii="Verdana" w:hAnsi="Verdana"/>
          <w:sz w:val="18"/>
          <w:szCs w:val="18"/>
          <w:lang w:val="en-US"/>
        </w:rPr>
      </w:pPr>
    </w:p>
    <w:sectPr w:rsidR="00406919" w:rsidRPr="0008325D" w:rsidSect="00255528">
      <w:footerReference w:type="even" r:id="rId46"/>
      <w:footerReference w:type="default" r:id="rId4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3874A" w14:textId="77777777" w:rsidR="003D0F86" w:rsidRDefault="003D0F86">
      <w:r>
        <w:separator/>
      </w:r>
    </w:p>
  </w:endnote>
  <w:endnote w:type="continuationSeparator" w:id="0">
    <w:p w14:paraId="2AA9046E" w14:textId="77777777" w:rsidR="003D0F86" w:rsidRDefault="003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6A99" w14:textId="77777777" w:rsidR="00DA1504" w:rsidRDefault="00DA1504" w:rsidP="00C065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0952A3" w14:textId="77777777" w:rsidR="00DA1504" w:rsidRDefault="00DA1504" w:rsidP="00D349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8EF6" w14:textId="77777777" w:rsidR="00DA1504" w:rsidRDefault="00DA1504" w:rsidP="000D7B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08F3676F" w14:textId="77777777" w:rsidR="00DA1504" w:rsidRDefault="00DA1504" w:rsidP="00C0659C">
    <w:pPr>
      <w:pStyle w:val="a3"/>
      <w:ind w:right="360"/>
      <w:jc w:val="right"/>
    </w:pPr>
  </w:p>
  <w:p w14:paraId="7CD3CEBC" w14:textId="77777777" w:rsidR="00DA1504" w:rsidRDefault="00DA1504" w:rsidP="00D349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AD11" w14:textId="77777777" w:rsidR="003D0F86" w:rsidRDefault="003D0F86">
      <w:r>
        <w:separator/>
      </w:r>
    </w:p>
  </w:footnote>
  <w:footnote w:type="continuationSeparator" w:id="0">
    <w:p w14:paraId="2C97EDBD" w14:textId="77777777" w:rsidR="003D0F86" w:rsidRDefault="003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B50BA"/>
    <w:multiLevelType w:val="hybridMultilevel"/>
    <w:tmpl w:val="69DCBA9E"/>
    <w:lvl w:ilvl="0" w:tplc="0568DE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A0B03"/>
    <w:multiLevelType w:val="hybridMultilevel"/>
    <w:tmpl w:val="3FCE222E"/>
    <w:lvl w:ilvl="0" w:tplc="77323A5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B47C4"/>
    <w:multiLevelType w:val="hybridMultilevel"/>
    <w:tmpl w:val="FE825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7A41"/>
    <w:multiLevelType w:val="hybridMultilevel"/>
    <w:tmpl w:val="EA92989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4267D"/>
    <w:multiLevelType w:val="hybridMultilevel"/>
    <w:tmpl w:val="72CA40A4"/>
    <w:lvl w:ilvl="0" w:tplc="C2D85AC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7C31"/>
    <w:multiLevelType w:val="hybridMultilevel"/>
    <w:tmpl w:val="6D4A3FC8"/>
    <w:lvl w:ilvl="0" w:tplc="77323A5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7BB4"/>
    <w:multiLevelType w:val="hybridMultilevel"/>
    <w:tmpl w:val="E502FAA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B41D0"/>
    <w:multiLevelType w:val="hybridMultilevel"/>
    <w:tmpl w:val="1C06558A"/>
    <w:lvl w:ilvl="0" w:tplc="979C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2A02"/>
    <w:multiLevelType w:val="hybridMultilevel"/>
    <w:tmpl w:val="A41EAE9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7F26"/>
    <w:multiLevelType w:val="hybridMultilevel"/>
    <w:tmpl w:val="F2042BE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7B82438"/>
    <w:multiLevelType w:val="hybridMultilevel"/>
    <w:tmpl w:val="88465B68"/>
    <w:lvl w:ilvl="0" w:tplc="1CAA2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357D8"/>
    <w:multiLevelType w:val="multilevel"/>
    <w:tmpl w:val="62CA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A4D81"/>
    <w:multiLevelType w:val="hybridMultilevel"/>
    <w:tmpl w:val="24FC5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7197C"/>
    <w:multiLevelType w:val="hybridMultilevel"/>
    <w:tmpl w:val="7144C978"/>
    <w:lvl w:ilvl="0" w:tplc="74C05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237579E7"/>
    <w:multiLevelType w:val="hybridMultilevel"/>
    <w:tmpl w:val="D3C61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1F02"/>
    <w:multiLevelType w:val="hybridMultilevel"/>
    <w:tmpl w:val="88745858"/>
    <w:lvl w:ilvl="0" w:tplc="0408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2C142817"/>
    <w:multiLevelType w:val="hybridMultilevel"/>
    <w:tmpl w:val="6A501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068B8"/>
    <w:multiLevelType w:val="hybridMultilevel"/>
    <w:tmpl w:val="34561460"/>
    <w:lvl w:ilvl="0" w:tplc="77323A5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A1E96"/>
    <w:multiLevelType w:val="hybridMultilevel"/>
    <w:tmpl w:val="42D8A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83544"/>
    <w:multiLevelType w:val="hybridMultilevel"/>
    <w:tmpl w:val="451A46A2"/>
    <w:lvl w:ilvl="0" w:tplc="0568DE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57AD0"/>
    <w:multiLevelType w:val="hybridMultilevel"/>
    <w:tmpl w:val="AB06A2C8"/>
    <w:lvl w:ilvl="0" w:tplc="C2AA9C2E">
      <w:start w:val="1"/>
      <w:numFmt w:val="decimal"/>
      <w:lvlText w:val="%1."/>
      <w:lvlJc w:val="left"/>
      <w:pPr>
        <w:tabs>
          <w:tab w:val="num" w:pos="786"/>
        </w:tabs>
        <w:ind w:left="426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2" w15:restartNumberingAfterBreak="0">
    <w:nsid w:val="40E70FB4"/>
    <w:multiLevelType w:val="hybridMultilevel"/>
    <w:tmpl w:val="36E8F2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91D8C"/>
    <w:multiLevelType w:val="multilevel"/>
    <w:tmpl w:val="848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95ABA"/>
    <w:multiLevelType w:val="hybridMultilevel"/>
    <w:tmpl w:val="D88E72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964B8"/>
    <w:multiLevelType w:val="hybridMultilevel"/>
    <w:tmpl w:val="4418B0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21E5F"/>
    <w:multiLevelType w:val="hybridMultilevel"/>
    <w:tmpl w:val="D026FA60"/>
    <w:lvl w:ilvl="0" w:tplc="77323A5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330C"/>
    <w:multiLevelType w:val="hybridMultilevel"/>
    <w:tmpl w:val="0F34AD8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E42266"/>
    <w:multiLevelType w:val="hybridMultilevel"/>
    <w:tmpl w:val="B57AB9CE"/>
    <w:lvl w:ilvl="0" w:tplc="662C20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0914"/>
    <w:multiLevelType w:val="hybridMultilevel"/>
    <w:tmpl w:val="08CA8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44F50"/>
    <w:multiLevelType w:val="hybridMultilevel"/>
    <w:tmpl w:val="E27685D8"/>
    <w:lvl w:ilvl="0" w:tplc="979C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5180B"/>
    <w:multiLevelType w:val="hybridMultilevel"/>
    <w:tmpl w:val="1DBAE646"/>
    <w:lvl w:ilvl="0" w:tplc="BCB4E620">
      <w:start w:val="1992"/>
      <w:numFmt w:val="decimal"/>
      <w:lvlText w:val="%1"/>
      <w:lvlJc w:val="left"/>
      <w:pPr>
        <w:tabs>
          <w:tab w:val="num" w:pos="1740"/>
        </w:tabs>
        <w:ind w:left="1740" w:hanging="15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56567704"/>
    <w:multiLevelType w:val="hybridMultilevel"/>
    <w:tmpl w:val="F620DBB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5F22A5"/>
    <w:multiLevelType w:val="hybridMultilevel"/>
    <w:tmpl w:val="6FD6CC3A"/>
    <w:lvl w:ilvl="0" w:tplc="55A626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436D6"/>
    <w:multiLevelType w:val="hybridMultilevel"/>
    <w:tmpl w:val="D4F65A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62F81DA0"/>
    <w:multiLevelType w:val="hybridMultilevel"/>
    <w:tmpl w:val="911AFB44"/>
    <w:lvl w:ilvl="0" w:tplc="78A256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A6AFE"/>
    <w:multiLevelType w:val="hybridMultilevel"/>
    <w:tmpl w:val="9F120BA8"/>
    <w:lvl w:ilvl="0" w:tplc="0408000F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37" w15:restartNumberingAfterBreak="0">
    <w:nsid w:val="66E66089"/>
    <w:multiLevelType w:val="hybridMultilevel"/>
    <w:tmpl w:val="4BCC557A"/>
    <w:lvl w:ilvl="0" w:tplc="C2D85AC2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A13B0"/>
    <w:multiLevelType w:val="hybridMultilevel"/>
    <w:tmpl w:val="1BA4B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B7EDA"/>
    <w:multiLevelType w:val="hybridMultilevel"/>
    <w:tmpl w:val="94842B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DD0D84"/>
    <w:multiLevelType w:val="hybridMultilevel"/>
    <w:tmpl w:val="94FACF54"/>
    <w:lvl w:ilvl="0" w:tplc="56E85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DE156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29179A"/>
    <w:multiLevelType w:val="hybridMultilevel"/>
    <w:tmpl w:val="EC0C482C"/>
    <w:lvl w:ilvl="0" w:tplc="1CAA2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65608"/>
    <w:multiLevelType w:val="singleLevel"/>
    <w:tmpl w:val="9F8062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74EF35D1"/>
    <w:multiLevelType w:val="hybridMultilevel"/>
    <w:tmpl w:val="AA26144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6177C"/>
    <w:multiLevelType w:val="hybridMultilevel"/>
    <w:tmpl w:val="6C4C1208"/>
    <w:lvl w:ilvl="0" w:tplc="979C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7"/>
  </w:num>
  <w:num w:numId="3">
    <w:abstractNumId w:val="5"/>
  </w:num>
  <w:num w:numId="4">
    <w:abstractNumId w:val="31"/>
  </w:num>
  <w:num w:numId="5">
    <w:abstractNumId w:val="23"/>
  </w:num>
  <w:num w:numId="6">
    <w:abstractNumId w:val="39"/>
  </w:num>
  <w:num w:numId="7">
    <w:abstractNumId w:val="7"/>
  </w:num>
  <w:num w:numId="8">
    <w:abstractNumId w:val="41"/>
  </w:num>
  <w:num w:numId="9">
    <w:abstractNumId w:val="13"/>
  </w:num>
  <w:num w:numId="10">
    <w:abstractNumId w:val="15"/>
  </w:num>
  <w:num w:numId="11">
    <w:abstractNumId w:val="19"/>
  </w:num>
  <w:num w:numId="12">
    <w:abstractNumId w:val="22"/>
  </w:num>
  <w:num w:numId="13">
    <w:abstractNumId w:val="38"/>
  </w:num>
  <w:num w:numId="14">
    <w:abstractNumId w:val="17"/>
  </w:num>
  <w:num w:numId="15">
    <w:abstractNumId w:val="29"/>
  </w:num>
  <w:num w:numId="16">
    <w:abstractNumId w:val="3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7"/>
  </w:num>
  <w:num w:numId="20">
    <w:abstractNumId w:val="16"/>
  </w:num>
  <w:num w:numId="21">
    <w:abstractNumId w:val="24"/>
  </w:num>
  <w:num w:numId="22">
    <w:abstractNumId w:val="14"/>
  </w:num>
  <w:num w:numId="23">
    <w:abstractNumId w:val="35"/>
  </w:num>
  <w:num w:numId="24">
    <w:abstractNumId w:val="20"/>
  </w:num>
  <w:num w:numId="25">
    <w:abstractNumId w:val="1"/>
  </w:num>
  <w:num w:numId="26">
    <w:abstractNumId w:val="28"/>
  </w:num>
  <w:num w:numId="27">
    <w:abstractNumId w:val="33"/>
  </w:num>
  <w:num w:numId="28">
    <w:abstractNumId w:val="25"/>
  </w:num>
  <w:num w:numId="29">
    <w:abstractNumId w:val="34"/>
  </w:num>
  <w:num w:numId="30">
    <w:abstractNumId w:val="44"/>
  </w:num>
  <w:num w:numId="3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4"/>
  </w:num>
  <w:num w:numId="34">
    <w:abstractNumId w:val="36"/>
  </w:num>
  <w:num w:numId="35">
    <w:abstractNumId w:val="21"/>
  </w:num>
  <w:num w:numId="36">
    <w:abstractNumId w:val="10"/>
  </w:num>
  <w:num w:numId="37">
    <w:abstractNumId w:val="40"/>
  </w:num>
  <w:num w:numId="38">
    <w:abstractNumId w:val="12"/>
  </w:num>
  <w:num w:numId="39">
    <w:abstractNumId w:val="32"/>
  </w:num>
  <w:num w:numId="40">
    <w:abstractNumId w:val="30"/>
  </w:num>
  <w:num w:numId="41">
    <w:abstractNumId w:val="42"/>
  </w:num>
  <w:num w:numId="42">
    <w:abstractNumId w:val="18"/>
  </w:num>
  <w:num w:numId="43">
    <w:abstractNumId w:val="6"/>
  </w:num>
  <w:num w:numId="44">
    <w:abstractNumId w:val="2"/>
  </w:num>
  <w:num w:numId="45">
    <w:abstractNumId w:val="26"/>
  </w:num>
  <w:num w:numId="46">
    <w:abstractNumId w:val="45"/>
  </w:num>
  <w:num w:numId="47">
    <w:abstractNumId w:val="8"/>
  </w:num>
  <w:num w:numId="48">
    <w:abstractNumId w:val="11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1MDe1MDe3MLQwNTBT0lEKTi0uzszPAykwNKwFANDKs7otAAAA"/>
  </w:docVars>
  <w:rsids>
    <w:rsidRoot w:val="00922324"/>
    <w:rsid w:val="00004432"/>
    <w:rsid w:val="00020474"/>
    <w:rsid w:val="00027152"/>
    <w:rsid w:val="00033020"/>
    <w:rsid w:val="00046504"/>
    <w:rsid w:val="0006167D"/>
    <w:rsid w:val="00063FF8"/>
    <w:rsid w:val="000729EA"/>
    <w:rsid w:val="00074382"/>
    <w:rsid w:val="0008317B"/>
    <w:rsid w:val="0008325D"/>
    <w:rsid w:val="0008465D"/>
    <w:rsid w:val="0008493F"/>
    <w:rsid w:val="00092C73"/>
    <w:rsid w:val="000B32DB"/>
    <w:rsid w:val="000B5161"/>
    <w:rsid w:val="000C4F9D"/>
    <w:rsid w:val="000D5472"/>
    <w:rsid w:val="000D7B51"/>
    <w:rsid w:val="000E153E"/>
    <w:rsid w:val="000E3AD4"/>
    <w:rsid w:val="000F56DF"/>
    <w:rsid w:val="000F6E7F"/>
    <w:rsid w:val="00102E82"/>
    <w:rsid w:val="00111938"/>
    <w:rsid w:val="00114967"/>
    <w:rsid w:val="0013154F"/>
    <w:rsid w:val="00142F24"/>
    <w:rsid w:val="001443DE"/>
    <w:rsid w:val="001455AB"/>
    <w:rsid w:val="00151CDD"/>
    <w:rsid w:val="001521EB"/>
    <w:rsid w:val="00161F27"/>
    <w:rsid w:val="00171F0D"/>
    <w:rsid w:val="00191081"/>
    <w:rsid w:val="001A5FCB"/>
    <w:rsid w:val="001B4AD9"/>
    <w:rsid w:val="001C5E7E"/>
    <w:rsid w:val="001C6845"/>
    <w:rsid w:val="001D2DA1"/>
    <w:rsid w:val="001D3821"/>
    <w:rsid w:val="001E24A5"/>
    <w:rsid w:val="001F2842"/>
    <w:rsid w:val="002001B0"/>
    <w:rsid w:val="002006BD"/>
    <w:rsid w:val="00201520"/>
    <w:rsid w:val="002128CD"/>
    <w:rsid w:val="00216277"/>
    <w:rsid w:val="00216D0D"/>
    <w:rsid w:val="00233558"/>
    <w:rsid w:val="00234258"/>
    <w:rsid w:val="002364A1"/>
    <w:rsid w:val="00242397"/>
    <w:rsid w:val="00255528"/>
    <w:rsid w:val="00261804"/>
    <w:rsid w:val="00283B4F"/>
    <w:rsid w:val="002A149E"/>
    <w:rsid w:val="002B2A79"/>
    <w:rsid w:val="002B3C0C"/>
    <w:rsid w:val="002C3396"/>
    <w:rsid w:val="002E7EF3"/>
    <w:rsid w:val="0030790D"/>
    <w:rsid w:val="003218D3"/>
    <w:rsid w:val="00323A70"/>
    <w:rsid w:val="00324752"/>
    <w:rsid w:val="0032739A"/>
    <w:rsid w:val="00343CBA"/>
    <w:rsid w:val="00352EFE"/>
    <w:rsid w:val="00356C9C"/>
    <w:rsid w:val="00365988"/>
    <w:rsid w:val="00365F0F"/>
    <w:rsid w:val="00367CCF"/>
    <w:rsid w:val="0037342D"/>
    <w:rsid w:val="003739A8"/>
    <w:rsid w:val="00377E7F"/>
    <w:rsid w:val="00391960"/>
    <w:rsid w:val="003A6623"/>
    <w:rsid w:val="003B2FB6"/>
    <w:rsid w:val="003C0B74"/>
    <w:rsid w:val="003C4696"/>
    <w:rsid w:val="003C7CE4"/>
    <w:rsid w:val="003D0F03"/>
    <w:rsid w:val="003D0F86"/>
    <w:rsid w:val="003E5A4B"/>
    <w:rsid w:val="00400807"/>
    <w:rsid w:val="00400D94"/>
    <w:rsid w:val="00400FFD"/>
    <w:rsid w:val="00406919"/>
    <w:rsid w:val="004168E4"/>
    <w:rsid w:val="004218D0"/>
    <w:rsid w:val="00424051"/>
    <w:rsid w:val="0042489B"/>
    <w:rsid w:val="0043356C"/>
    <w:rsid w:val="004403E4"/>
    <w:rsid w:val="00441D73"/>
    <w:rsid w:val="00476848"/>
    <w:rsid w:val="00480EC5"/>
    <w:rsid w:val="00483279"/>
    <w:rsid w:val="00487EB6"/>
    <w:rsid w:val="00493776"/>
    <w:rsid w:val="004A0C43"/>
    <w:rsid w:val="004A1E40"/>
    <w:rsid w:val="004A3C48"/>
    <w:rsid w:val="004C3C89"/>
    <w:rsid w:val="004C6EF2"/>
    <w:rsid w:val="004D76BF"/>
    <w:rsid w:val="004E06BB"/>
    <w:rsid w:val="004E19A7"/>
    <w:rsid w:val="004E1DB4"/>
    <w:rsid w:val="004F29EA"/>
    <w:rsid w:val="004F3D7F"/>
    <w:rsid w:val="00500F88"/>
    <w:rsid w:val="00511439"/>
    <w:rsid w:val="005144F8"/>
    <w:rsid w:val="00514511"/>
    <w:rsid w:val="00517906"/>
    <w:rsid w:val="00522080"/>
    <w:rsid w:val="00533FE1"/>
    <w:rsid w:val="00543B9C"/>
    <w:rsid w:val="0054430E"/>
    <w:rsid w:val="00557826"/>
    <w:rsid w:val="00560C75"/>
    <w:rsid w:val="00566A80"/>
    <w:rsid w:val="0058021A"/>
    <w:rsid w:val="00590167"/>
    <w:rsid w:val="00591EDC"/>
    <w:rsid w:val="005C015D"/>
    <w:rsid w:val="005C7544"/>
    <w:rsid w:val="005D0ED4"/>
    <w:rsid w:val="005E0860"/>
    <w:rsid w:val="005F2A91"/>
    <w:rsid w:val="006104DB"/>
    <w:rsid w:val="00612B2B"/>
    <w:rsid w:val="0062016A"/>
    <w:rsid w:val="00635A92"/>
    <w:rsid w:val="00635BA4"/>
    <w:rsid w:val="00640B66"/>
    <w:rsid w:val="00641E1D"/>
    <w:rsid w:val="00647AC4"/>
    <w:rsid w:val="0068141B"/>
    <w:rsid w:val="006B135A"/>
    <w:rsid w:val="006B3FCC"/>
    <w:rsid w:val="006D6984"/>
    <w:rsid w:val="006E3041"/>
    <w:rsid w:val="006E6CF8"/>
    <w:rsid w:val="006F1E6E"/>
    <w:rsid w:val="006F2B0F"/>
    <w:rsid w:val="00701983"/>
    <w:rsid w:val="00702D5F"/>
    <w:rsid w:val="007073B9"/>
    <w:rsid w:val="00721217"/>
    <w:rsid w:val="00722E5C"/>
    <w:rsid w:val="00725F51"/>
    <w:rsid w:val="00732FED"/>
    <w:rsid w:val="0074357B"/>
    <w:rsid w:val="00751A1B"/>
    <w:rsid w:val="007553B3"/>
    <w:rsid w:val="0078263C"/>
    <w:rsid w:val="00795E3A"/>
    <w:rsid w:val="007B2ED4"/>
    <w:rsid w:val="007C4A0E"/>
    <w:rsid w:val="007C51E6"/>
    <w:rsid w:val="007C53A4"/>
    <w:rsid w:val="0080705B"/>
    <w:rsid w:val="00823E8B"/>
    <w:rsid w:val="00840E34"/>
    <w:rsid w:val="00844107"/>
    <w:rsid w:val="00845C62"/>
    <w:rsid w:val="00864DAA"/>
    <w:rsid w:val="00875792"/>
    <w:rsid w:val="00876615"/>
    <w:rsid w:val="00892E5B"/>
    <w:rsid w:val="00897692"/>
    <w:rsid w:val="008A33CA"/>
    <w:rsid w:val="008A3F0C"/>
    <w:rsid w:val="008A4FD2"/>
    <w:rsid w:val="008A5193"/>
    <w:rsid w:val="008B246D"/>
    <w:rsid w:val="008B3775"/>
    <w:rsid w:val="008C100B"/>
    <w:rsid w:val="008C6C0C"/>
    <w:rsid w:val="008D2D9A"/>
    <w:rsid w:val="008E5CE7"/>
    <w:rsid w:val="008F6A5C"/>
    <w:rsid w:val="00912FA2"/>
    <w:rsid w:val="0091622A"/>
    <w:rsid w:val="00920317"/>
    <w:rsid w:val="00922324"/>
    <w:rsid w:val="00925860"/>
    <w:rsid w:val="009456A7"/>
    <w:rsid w:val="00997895"/>
    <w:rsid w:val="009B1C34"/>
    <w:rsid w:val="009B73B5"/>
    <w:rsid w:val="009D2559"/>
    <w:rsid w:val="009D5994"/>
    <w:rsid w:val="009E3A92"/>
    <w:rsid w:val="009E4234"/>
    <w:rsid w:val="009F1044"/>
    <w:rsid w:val="009F16D4"/>
    <w:rsid w:val="009F20B1"/>
    <w:rsid w:val="009F3E57"/>
    <w:rsid w:val="00A0289E"/>
    <w:rsid w:val="00A04ED7"/>
    <w:rsid w:val="00A05AE5"/>
    <w:rsid w:val="00A51EBE"/>
    <w:rsid w:val="00A5514C"/>
    <w:rsid w:val="00A552A8"/>
    <w:rsid w:val="00A650CB"/>
    <w:rsid w:val="00A66609"/>
    <w:rsid w:val="00A90E26"/>
    <w:rsid w:val="00A9255F"/>
    <w:rsid w:val="00A95504"/>
    <w:rsid w:val="00A97726"/>
    <w:rsid w:val="00AA6035"/>
    <w:rsid w:val="00AC1496"/>
    <w:rsid w:val="00AD43FD"/>
    <w:rsid w:val="00AD55CB"/>
    <w:rsid w:val="00B14CCC"/>
    <w:rsid w:val="00B15332"/>
    <w:rsid w:val="00B27D9C"/>
    <w:rsid w:val="00B35E6F"/>
    <w:rsid w:val="00B4293B"/>
    <w:rsid w:val="00B57626"/>
    <w:rsid w:val="00B7211D"/>
    <w:rsid w:val="00B72270"/>
    <w:rsid w:val="00B93E83"/>
    <w:rsid w:val="00B96004"/>
    <w:rsid w:val="00B97F6D"/>
    <w:rsid w:val="00BA4CE2"/>
    <w:rsid w:val="00BA5AFF"/>
    <w:rsid w:val="00BA5EE1"/>
    <w:rsid w:val="00BB4B4E"/>
    <w:rsid w:val="00BB6FAD"/>
    <w:rsid w:val="00BC30BE"/>
    <w:rsid w:val="00BD4019"/>
    <w:rsid w:val="00BD4FF9"/>
    <w:rsid w:val="00BE44B2"/>
    <w:rsid w:val="00BE4C62"/>
    <w:rsid w:val="00BE6B93"/>
    <w:rsid w:val="00BF0CA5"/>
    <w:rsid w:val="00BF319F"/>
    <w:rsid w:val="00BF7C4C"/>
    <w:rsid w:val="00C00ADD"/>
    <w:rsid w:val="00C0485E"/>
    <w:rsid w:val="00C0659C"/>
    <w:rsid w:val="00C25885"/>
    <w:rsid w:val="00C41807"/>
    <w:rsid w:val="00C446A1"/>
    <w:rsid w:val="00C44CF3"/>
    <w:rsid w:val="00C55BDA"/>
    <w:rsid w:val="00C62103"/>
    <w:rsid w:val="00C6514C"/>
    <w:rsid w:val="00C72915"/>
    <w:rsid w:val="00C81791"/>
    <w:rsid w:val="00C8365C"/>
    <w:rsid w:val="00C9488C"/>
    <w:rsid w:val="00C96A1B"/>
    <w:rsid w:val="00CB6E11"/>
    <w:rsid w:val="00CC1FFB"/>
    <w:rsid w:val="00CC6EBA"/>
    <w:rsid w:val="00CE2887"/>
    <w:rsid w:val="00CE306D"/>
    <w:rsid w:val="00CE621C"/>
    <w:rsid w:val="00D0275A"/>
    <w:rsid w:val="00D1103B"/>
    <w:rsid w:val="00D115D2"/>
    <w:rsid w:val="00D12D53"/>
    <w:rsid w:val="00D21B41"/>
    <w:rsid w:val="00D25900"/>
    <w:rsid w:val="00D34963"/>
    <w:rsid w:val="00D37F87"/>
    <w:rsid w:val="00D46392"/>
    <w:rsid w:val="00D51933"/>
    <w:rsid w:val="00D73273"/>
    <w:rsid w:val="00D76673"/>
    <w:rsid w:val="00D809B5"/>
    <w:rsid w:val="00DA1504"/>
    <w:rsid w:val="00DB72EF"/>
    <w:rsid w:val="00DC06F3"/>
    <w:rsid w:val="00DC4321"/>
    <w:rsid w:val="00DD1C46"/>
    <w:rsid w:val="00DF7F71"/>
    <w:rsid w:val="00E06187"/>
    <w:rsid w:val="00E11FBF"/>
    <w:rsid w:val="00E20435"/>
    <w:rsid w:val="00E258AC"/>
    <w:rsid w:val="00E435FD"/>
    <w:rsid w:val="00E455D2"/>
    <w:rsid w:val="00E46489"/>
    <w:rsid w:val="00E50BA9"/>
    <w:rsid w:val="00E51A5B"/>
    <w:rsid w:val="00E8114D"/>
    <w:rsid w:val="00E932AE"/>
    <w:rsid w:val="00EA651C"/>
    <w:rsid w:val="00EC35CB"/>
    <w:rsid w:val="00EC4A6D"/>
    <w:rsid w:val="00EC60DA"/>
    <w:rsid w:val="00ED7489"/>
    <w:rsid w:val="00F033F1"/>
    <w:rsid w:val="00F04692"/>
    <w:rsid w:val="00F149A0"/>
    <w:rsid w:val="00F22015"/>
    <w:rsid w:val="00F271A6"/>
    <w:rsid w:val="00F32CDA"/>
    <w:rsid w:val="00F34EC3"/>
    <w:rsid w:val="00F36F5E"/>
    <w:rsid w:val="00F445FB"/>
    <w:rsid w:val="00F513D3"/>
    <w:rsid w:val="00F62F99"/>
    <w:rsid w:val="00F701D7"/>
    <w:rsid w:val="00F72DDB"/>
    <w:rsid w:val="00F84851"/>
    <w:rsid w:val="00F928A0"/>
    <w:rsid w:val="00F97BF6"/>
    <w:rsid w:val="00FA5995"/>
    <w:rsid w:val="00FA5B93"/>
    <w:rsid w:val="00FB5025"/>
    <w:rsid w:val="00FB7842"/>
    <w:rsid w:val="00FD3BBC"/>
    <w:rsid w:val="00FD5E41"/>
    <w:rsid w:val="00FE1E33"/>
    <w:rsid w:val="00FE571B"/>
    <w:rsid w:val="00FF102B"/>
    <w:rsid w:val="00FF3B2F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ABB2"/>
  <w15:chartTrackingRefBased/>
  <w15:docId w15:val="{DAC582C0-FD01-46A5-9A9A-3FBE9F9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paragraph" w:styleId="1">
    <w:name w:val="heading 1"/>
    <w:basedOn w:val="a"/>
    <w:link w:val="1Char"/>
    <w:uiPriority w:val="9"/>
    <w:qFormat/>
    <w:rsid w:val="003C0B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4">
    <w:name w:val="style44"/>
    <w:basedOn w:val="a"/>
    <w:rsid w:val="00922324"/>
    <w:pPr>
      <w:spacing w:before="100" w:beforeAutospacing="1" w:after="100" w:afterAutospacing="1"/>
    </w:pPr>
  </w:style>
  <w:style w:type="paragraph" w:customStyle="1" w:styleId="style45style46">
    <w:name w:val="style45style46"/>
    <w:basedOn w:val="a"/>
    <w:rsid w:val="00922324"/>
    <w:pPr>
      <w:spacing w:before="100" w:beforeAutospacing="1" w:after="100" w:afterAutospacing="1"/>
    </w:pPr>
  </w:style>
  <w:style w:type="paragraph" w:styleId="3">
    <w:name w:val="Body Text 3"/>
    <w:basedOn w:val="a"/>
    <w:rsid w:val="0074357B"/>
    <w:pPr>
      <w:spacing w:line="360" w:lineRule="auto"/>
    </w:pPr>
    <w:rPr>
      <w:b/>
      <w:szCs w:val="20"/>
      <w:lang w:val="el-GR" w:eastAsia="el-GR"/>
    </w:rPr>
  </w:style>
  <w:style w:type="character" w:styleId="-">
    <w:name w:val="Hyperlink"/>
    <w:rsid w:val="002C3396"/>
    <w:rPr>
      <w:color w:val="00009C"/>
      <w:u w:val="single"/>
    </w:rPr>
  </w:style>
  <w:style w:type="character" w:customStyle="1" w:styleId="txtboldonly1">
    <w:name w:val="txtboldonly1"/>
    <w:rsid w:val="002C3396"/>
    <w:rPr>
      <w:b/>
      <w:bCs/>
    </w:rPr>
  </w:style>
  <w:style w:type="paragraph" w:styleId="2">
    <w:name w:val="Body Text 2"/>
    <w:basedOn w:val="a"/>
    <w:rsid w:val="00702D5F"/>
    <w:pPr>
      <w:spacing w:after="120" w:line="480" w:lineRule="auto"/>
    </w:pPr>
  </w:style>
  <w:style w:type="paragraph" w:customStyle="1" w:styleId="Default">
    <w:name w:val="Default"/>
    <w:rsid w:val="00702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rsid w:val="00D349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4963"/>
  </w:style>
  <w:style w:type="character" w:customStyle="1" w:styleId="1Char">
    <w:name w:val="Επικεφαλίδα 1 Char"/>
    <w:link w:val="1"/>
    <w:uiPriority w:val="9"/>
    <w:rsid w:val="003C0B74"/>
    <w:rPr>
      <w:b/>
      <w:bCs/>
      <w:kern w:val="36"/>
      <w:sz w:val="48"/>
      <w:szCs w:val="48"/>
    </w:rPr>
  </w:style>
  <w:style w:type="character" w:customStyle="1" w:styleId="kwargs">
    <w:name w:val="kwargs"/>
    <w:basedOn w:val="a0"/>
    <w:rsid w:val="003C0B74"/>
  </w:style>
  <w:style w:type="character" w:customStyle="1" w:styleId="when-open">
    <w:name w:val="when-open"/>
    <w:basedOn w:val="a0"/>
    <w:rsid w:val="003C0B74"/>
  </w:style>
  <w:style w:type="character" w:customStyle="1" w:styleId="actionable-expander-arrow">
    <w:name w:val="actionable-expander-arrow"/>
    <w:basedOn w:val="a0"/>
    <w:rsid w:val="003C0B74"/>
  </w:style>
  <w:style w:type="character" w:customStyle="1" w:styleId="A5">
    <w:name w:val="A5"/>
    <w:uiPriority w:val="99"/>
    <w:rsid w:val="002128CD"/>
    <w:rPr>
      <w:rFonts w:cs="Minion Pro"/>
      <w:color w:val="000000"/>
      <w:sz w:val="14"/>
      <w:szCs w:val="14"/>
    </w:rPr>
  </w:style>
  <w:style w:type="character" w:styleId="-0">
    <w:name w:val="FollowedHyperlink"/>
    <w:rsid w:val="002128CD"/>
    <w:rPr>
      <w:color w:val="800080"/>
      <w:u w:val="single"/>
    </w:rPr>
  </w:style>
  <w:style w:type="character" w:customStyle="1" w:styleId="pagesubhead">
    <w:name w:val="pagesubhead"/>
    <w:basedOn w:val="a0"/>
    <w:rsid w:val="00C25885"/>
  </w:style>
  <w:style w:type="character" w:styleId="a6">
    <w:name w:val="Strong"/>
    <w:uiPriority w:val="22"/>
    <w:qFormat/>
    <w:rsid w:val="009B73B5"/>
    <w:rPr>
      <w:b/>
      <w:bCs/>
    </w:rPr>
  </w:style>
  <w:style w:type="paragraph" w:styleId="a7">
    <w:name w:val="header"/>
    <w:basedOn w:val="a"/>
    <w:link w:val="Char0"/>
    <w:rsid w:val="00722E5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722E5C"/>
    <w:rPr>
      <w:sz w:val="24"/>
      <w:szCs w:val="24"/>
      <w:lang w:val="en-GB" w:eastAsia="en-GB"/>
    </w:rPr>
  </w:style>
  <w:style w:type="character" w:customStyle="1" w:styleId="Char">
    <w:name w:val="Υποσέλιδο Char"/>
    <w:link w:val="a3"/>
    <w:uiPriority w:val="99"/>
    <w:rsid w:val="00722E5C"/>
    <w:rPr>
      <w:sz w:val="24"/>
      <w:szCs w:val="24"/>
      <w:lang w:val="en-GB" w:eastAsia="en-GB"/>
    </w:rPr>
  </w:style>
  <w:style w:type="paragraph" w:customStyle="1" w:styleId="title">
    <w:name w:val="title"/>
    <w:basedOn w:val="a"/>
    <w:rsid w:val="00483279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rsid w:val="00BE6B93"/>
    <w:pPr>
      <w:spacing w:after="120"/>
    </w:pPr>
  </w:style>
  <w:style w:type="paragraph" w:styleId="Web">
    <w:name w:val="Normal (Web)"/>
    <w:basedOn w:val="a"/>
    <w:uiPriority w:val="99"/>
    <w:unhideWhenUsed/>
    <w:rsid w:val="009F16D4"/>
    <w:pPr>
      <w:spacing w:before="100" w:beforeAutospacing="1" w:after="100" w:afterAutospacing="1"/>
    </w:pPr>
    <w:rPr>
      <w:lang w:val="el-GR" w:eastAsia="el-GR"/>
    </w:rPr>
  </w:style>
  <w:style w:type="character" w:styleId="a9">
    <w:name w:val="Unresolved Mention"/>
    <w:uiPriority w:val="99"/>
    <w:semiHidden/>
    <w:unhideWhenUsed/>
    <w:rsid w:val="00343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500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16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2872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978-3-030-78771-4_29" TargetMode="External"/><Relationship Id="rId18" Type="http://schemas.openxmlformats.org/officeDocument/2006/relationships/hyperlink" Target="https://doi.org/10.1007/978-3-030-78771-4_6" TargetMode="External"/><Relationship Id="rId26" Type="http://schemas.openxmlformats.org/officeDocument/2006/relationships/hyperlink" Target="https://doi.org/10.22365/jpsych.2019.303.226" TargetMode="External"/><Relationship Id="rId39" Type="http://schemas.openxmlformats.org/officeDocument/2006/relationships/hyperlink" Target="http://doi.org/10.5604/01.3001.0014.1915" TargetMode="External"/><Relationship Id="rId21" Type="http://schemas.openxmlformats.org/officeDocument/2006/relationships/hyperlink" Target="https://doi.org/10.1007/978-3-030-78771-4_25" TargetMode="External"/><Relationship Id="rId34" Type="http://schemas.openxmlformats.org/officeDocument/2006/relationships/hyperlink" Target="http://doi.org/10.5455/msm.2015.27.354-358" TargetMode="External"/><Relationship Id="rId42" Type="http://schemas.openxmlformats.org/officeDocument/2006/relationships/hyperlink" Target="http://doi.org/org/10.5604/01.3001.0014.6583" TargetMode="External"/><Relationship Id="rId47" Type="http://schemas.openxmlformats.org/officeDocument/2006/relationships/footer" Target="footer2.xml"/><Relationship Id="rId7" Type="http://schemas.openxmlformats.org/officeDocument/2006/relationships/hyperlink" Target="mailto:vicalikari@uniwa.g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7759/cureus.15186" TargetMode="External"/><Relationship Id="rId29" Type="http://schemas.openxmlformats.org/officeDocument/2006/relationships/hyperlink" Target="http://doi.org/10.22034/APJCP.2018.19.4.1047" TargetMode="External"/><Relationship Id="rId11" Type="http://schemas.openxmlformats.org/officeDocument/2006/relationships/hyperlink" Target="https://orcid.org/0000-0003-1733-6208" TargetMode="External"/><Relationship Id="rId24" Type="http://schemas.openxmlformats.org/officeDocument/2006/relationships/hyperlink" Target="https://doi.org/10.1111/iwj.13348" TargetMode="External"/><Relationship Id="rId32" Type="http://schemas.openxmlformats.org/officeDocument/2006/relationships/hyperlink" Target="http://doi.org/10.5455/msm.2016.28.146-150" TargetMode="External"/><Relationship Id="rId37" Type="http://schemas.openxmlformats.org/officeDocument/2006/relationships/hyperlink" Target="http://doi.org/10.5539/gjhs.v13n4p72" TargetMode="External"/><Relationship Id="rId40" Type="http://schemas.openxmlformats.org/officeDocument/2006/relationships/hyperlink" Target="http://doi.org/10.5604/01.3001.0014.1912" TargetMode="External"/><Relationship Id="rId45" Type="http://schemas.openxmlformats.org/officeDocument/2006/relationships/hyperlink" Target="http://doi.org/10.4018/IJRQEH.20210101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455/msm.2021.33.34-40" TargetMode="External"/><Relationship Id="rId23" Type="http://schemas.openxmlformats.org/officeDocument/2006/relationships/hyperlink" Target="https://doi.org/10.3390/medicina55050168" TargetMode="External"/><Relationship Id="rId28" Type="http://schemas.openxmlformats.org/officeDocument/2006/relationships/hyperlink" Target="http://doi.org/10.23937/2469-5823/1510096" TargetMode="External"/><Relationship Id="rId36" Type="http://schemas.openxmlformats.org/officeDocument/2006/relationships/hyperlink" Target="http://doi.org/10.5455/msm.2015.27.305-30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ublons.com/researcher/4473688/victoria-alikari/" TargetMode="External"/><Relationship Id="rId19" Type="http://schemas.openxmlformats.org/officeDocument/2006/relationships/hyperlink" Target="https://doi.org/10.1007/s10943-020-01153-x" TargetMode="External"/><Relationship Id="rId31" Type="http://schemas.openxmlformats.org/officeDocument/2006/relationships/hyperlink" Target="http://doi.org/10.5455/msm.2016.28.229-234" TargetMode="External"/><Relationship Id="rId44" Type="http://schemas.openxmlformats.org/officeDocument/2006/relationships/hyperlink" Target="http://doi.org/10.4018/IJRQEH.202007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85Ax1ckAAAAJ&amp;hl=El" TargetMode="External"/><Relationship Id="rId14" Type="http://schemas.openxmlformats.org/officeDocument/2006/relationships/hyperlink" Target="https://doi.org/10.7759/cureus.19174" TargetMode="External"/><Relationship Id="rId22" Type="http://schemas.openxmlformats.org/officeDocument/2006/relationships/hyperlink" Target="https://doi.org/10.4081/hpr.2020.8234" TargetMode="External"/><Relationship Id="rId27" Type="http://schemas.openxmlformats.org/officeDocument/2006/relationships/hyperlink" Target="https://doi.org/10.1007/s11136-017-1735-x" TargetMode="External"/><Relationship Id="rId30" Type="http://schemas.openxmlformats.org/officeDocument/2006/relationships/hyperlink" Target="http://doi.org/10.1007/978-3-319-57379-3_13" TargetMode="External"/><Relationship Id="rId35" Type="http://schemas.openxmlformats.org/officeDocument/2006/relationships/hyperlink" Target="http://doi.org/10.5455/medarh.2015.69.376-380" TargetMode="External"/><Relationship Id="rId43" Type="http://schemas.openxmlformats.org/officeDocument/2006/relationships/hyperlink" Target="https://doi.org/10.12681/healthresj.2331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researchgate.net/profile/Victoria-Alikari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?term=alikari+victoria" TargetMode="External"/><Relationship Id="rId17" Type="http://schemas.openxmlformats.org/officeDocument/2006/relationships/hyperlink" Target="https://doi.org/10.1007/978-3-030-78771-4_3" TargetMode="External"/><Relationship Id="rId25" Type="http://schemas.openxmlformats.org/officeDocument/2006/relationships/hyperlink" Target="https://doi.org/10.1007/s11136-018-1989-y" TargetMode="External"/><Relationship Id="rId33" Type="http://schemas.openxmlformats.org/officeDocument/2006/relationships/hyperlink" Target="http://doi.org/10.1016/j.pmn.2015.03.004" TargetMode="External"/><Relationship Id="rId38" Type="http://schemas.openxmlformats.org/officeDocument/2006/relationships/hyperlink" Target="http://doi.org/10.5114/hpr.2020.93757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oi.org/10.1007/978-3-030-78771-4_8" TargetMode="External"/><Relationship Id="rId41" Type="http://schemas.openxmlformats.org/officeDocument/2006/relationships/hyperlink" Target="https://doi.org/10.17532/jhsci.2020.8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3245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ΣΥΝΟΠΤΙΚΟ ΒΙΟΓΡΑΦΙΚΟ</vt:lpstr>
    </vt:vector>
  </TitlesOfParts>
  <Company/>
  <LinksUpToDate>false</LinksUpToDate>
  <CharactersWithSpaces>20730</CharactersWithSpaces>
  <SharedDoc>false</SharedDoc>
  <HLinks>
    <vt:vector size="234" baseType="variant">
      <vt:variant>
        <vt:i4>6029388</vt:i4>
      </vt:variant>
      <vt:variant>
        <vt:i4>114</vt:i4>
      </vt:variant>
      <vt:variant>
        <vt:i4>0</vt:i4>
      </vt:variant>
      <vt:variant>
        <vt:i4>5</vt:i4>
      </vt:variant>
      <vt:variant>
        <vt:lpwstr>http://doi.org/10.4018/IJRQEH.2021010104</vt:lpwstr>
      </vt:variant>
      <vt:variant>
        <vt:lpwstr/>
      </vt:variant>
      <vt:variant>
        <vt:i4>6029388</vt:i4>
      </vt:variant>
      <vt:variant>
        <vt:i4>111</vt:i4>
      </vt:variant>
      <vt:variant>
        <vt:i4>0</vt:i4>
      </vt:variant>
      <vt:variant>
        <vt:i4>5</vt:i4>
      </vt:variant>
      <vt:variant>
        <vt:lpwstr>http://doi.org/10.4018/IJRQEH.2020070103</vt:lpwstr>
      </vt:variant>
      <vt:variant>
        <vt:lpwstr/>
      </vt:variant>
      <vt:variant>
        <vt:i4>5963792</vt:i4>
      </vt:variant>
      <vt:variant>
        <vt:i4>108</vt:i4>
      </vt:variant>
      <vt:variant>
        <vt:i4>0</vt:i4>
      </vt:variant>
      <vt:variant>
        <vt:i4>5</vt:i4>
      </vt:variant>
      <vt:variant>
        <vt:lpwstr>https://doi.org/10.12681/healthresj.23316</vt:lpwstr>
      </vt:variant>
      <vt:variant>
        <vt:lpwstr/>
      </vt:variant>
      <vt:variant>
        <vt:i4>852036</vt:i4>
      </vt:variant>
      <vt:variant>
        <vt:i4>105</vt:i4>
      </vt:variant>
      <vt:variant>
        <vt:i4>0</vt:i4>
      </vt:variant>
      <vt:variant>
        <vt:i4>5</vt:i4>
      </vt:variant>
      <vt:variant>
        <vt:lpwstr>http://doi.org/org/10.5604/01.3001.0014.6583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https://doi.org/10.17532/jhsci.2020.856</vt:lpwstr>
      </vt:variant>
      <vt:variant>
        <vt:lpwstr/>
      </vt:variant>
      <vt:variant>
        <vt:i4>524311</vt:i4>
      </vt:variant>
      <vt:variant>
        <vt:i4>99</vt:i4>
      </vt:variant>
      <vt:variant>
        <vt:i4>0</vt:i4>
      </vt:variant>
      <vt:variant>
        <vt:i4>5</vt:i4>
      </vt:variant>
      <vt:variant>
        <vt:lpwstr>http://doi.org/10.5604/01.3001.0014.1912</vt:lpwstr>
      </vt:variant>
      <vt:variant>
        <vt:lpwstr/>
      </vt:variant>
      <vt:variant>
        <vt:i4>983063</vt:i4>
      </vt:variant>
      <vt:variant>
        <vt:i4>96</vt:i4>
      </vt:variant>
      <vt:variant>
        <vt:i4>0</vt:i4>
      </vt:variant>
      <vt:variant>
        <vt:i4>5</vt:i4>
      </vt:variant>
      <vt:variant>
        <vt:lpwstr>http://doi.org/10.5604/01.3001.0014.1915</vt:lpwstr>
      </vt:variant>
      <vt:variant>
        <vt:lpwstr/>
      </vt:variant>
      <vt:variant>
        <vt:i4>393310</vt:i4>
      </vt:variant>
      <vt:variant>
        <vt:i4>93</vt:i4>
      </vt:variant>
      <vt:variant>
        <vt:i4>0</vt:i4>
      </vt:variant>
      <vt:variant>
        <vt:i4>5</vt:i4>
      </vt:variant>
      <vt:variant>
        <vt:lpwstr>http://doi.org/10.5114/hpr.2020.93757</vt:lpwstr>
      </vt:variant>
      <vt:variant>
        <vt:lpwstr/>
      </vt:variant>
      <vt:variant>
        <vt:i4>65619</vt:i4>
      </vt:variant>
      <vt:variant>
        <vt:i4>90</vt:i4>
      </vt:variant>
      <vt:variant>
        <vt:i4>0</vt:i4>
      </vt:variant>
      <vt:variant>
        <vt:i4>5</vt:i4>
      </vt:variant>
      <vt:variant>
        <vt:lpwstr>http://doi.org/10.5539/gjhs.v13n4p72</vt:lpwstr>
      </vt:variant>
      <vt:variant>
        <vt:lpwstr/>
      </vt:variant>
      <vt:variant>
        <vt:i4>2490467</vt:i4>
      </vt:variant>
      <vt:variant>
        <vt:i4>87</vt:i4>
      </vt:variant>
      <vt:variant>
        <vt:i4>0</vt:i4>
      </vt:variant>
      <vt:variant>
        <vt:i4>5</vt:i4>
      </vt:variant>
      <vt:variant>
        <vt:lpwstr>http://doi.org/10.5455/msm.2015.27.305-309</vt:lpwstr>
      </vt:variant>
      <vt:variant>
        <vt:lpwstr/>
      </vt:variant>
      <vt:variant>
        <vt:i4>5898308</vt:i4>
      </vt:variant>
      <vt:variant>
        <vt:i4>84</vt:i4>
      </vt:variant>
      <vt:variant>
        <vt:i4>0</vt:i4>
      </vt:variant>
      <vt:variant>
        <vt:i4>5</vt:i4>
      </vt:variant>
      <vt:variant>
        <vt:lpwstr>http://doi.org/10.5455/medarh.2015.69.376-380</vt:lpwstr>
      </vt:variant>
      <vt:variant>
        <vt:lpwstr/>
      </vt:variant>
      <vt:variant>
        <vt:i4>2490467</vt:i4>
      </vt:variant>
      <vt:variant>
        <vt:i4>81</vt:i4>
      </vt:variant>
      <vt:variant>
        <vt:i4>0</vt:i4>
      </vt:variant>
      <vt:variant>
        <vt:i4>5</vt:i4>
      </vt:variant>
      <vt:variant>
        <vt:lpwstr>http://doi.org/10.5455/msm.2015.27.354-358</vt:lpwstr>
      </vt:variant>
      <vt:variant>
        <vt:lpwstr/>
      </vt:variant>
      <vt:variant>
        <vt:i4>5832780</vt:i4>
      </vt:variant>
      <vt:variant>
        <vt:i4>78</vt:i4>
      </vt:variant>
      <vt:variant>
        <vt:i4>0</vt:i4>
      </vt:variant>
      <vt:variant>
        <vt:i4>5</vt:i4>
      </vt:variant>
      <vt:variant>
        <vt:lpwstr>http://doi.org/10.1016/j.pmn.2015.03.004</vt:lpwstr>
      </vt:variant>
      <vt:variant>
        <vt:lpwstr/>
      </vt:variant>
      <vt:variant>
        <vt:i4>2293857</vt:i4>
      </vt:variant>
      <vt:variant>
        <vt:i4>75</vt:i4>
      </vt:variant>
      <vt:variant>
        <vt:i4>0</vt:i4>
      </vt:variant>
      <vt:variant>
        <vt:i4>5</vt:i4>
      </vt:variant>
      <vt:variant>
        <vt:lpwstr>http://doi.org/10.5455/msm.2016.28.146-150</vt:lpwstr>
      </vt:variant>
      <vt:variant>
        <vt:lpwstr/>
      </vt:variant>
      <vt:variant>
        <vt:i4>2621537</vt:i4>
      </vt:variant>
      <vt:variant>
        <vt:i4>72</vt:i4>
      </vt:variant>
      <vt:variant>
        <vt:i4>0</vt:i4>
      </vt:variant>
      <vt:variant>
        <vt:i4>5</vt:i4>
      </vt:variant>
      <vt:variant>
        <vt:lpwstr>http://doi.org/10.5455/msm.2016.28.229-234</vt:lpwstr>
      </vt:variant>
      <vt:variant>
        <vt:lpwstr/>
      </vt:variant>
      <vt:variant>
        <vt:i4>3342418</vt:i4>
      </vt:variant>
      <vt:variant>
        <vt:i4>69</vt:i4>
      </vt:variant>
      <vt:variant>
        <vt:i4>0</vt:i4>
      </vt:variant>
      <vt:variant>
        <vt:i4>5</vt:i4>
      </vt:variant>
      <vt:variant>
        <vt:lpwstr>http://doi.org/10.1007/978-3-319-57379-3_13</vt:lpwstr>
      </vt:variant>
      <vt:variant>
        <vt:lpwstr/>
      </vt:variant>
      <vt:variant>
        <vt:i4>1835085</vt:i4>
      </vt:variant>
      <vt:variant>
        <vt:i4>66</vt:i4>
      </vt:variant>
      <vt:variant>
        <vt:i4>0</vt:i4>
      </vt:variant>
      <vt:variant>
        <vt:i4>5</vt:i4>
      </vt:variant>
      <vt:variant>
        <vt:lpwstr>http://doi.org/10.22034/APJCP.2018.19.4.1047</vt:lpwstr>
      </vt:variant>
      <vt:variant>
        <vt:lpwstr/>
      </vt:variant>
      <vt:variant>
        <vt:i4>458763</vt:i4>
      </vt:variant>
      <vt:variant>
        <vt:i4>63</vt:i4>
      </vt:variant>
      <vt:variant>
        <vt:i4>0</vt:i4>
      </vt:variant>
      <vt:variant>
        <vt:i4>5</vt:i4>
      </vt:variant>
      <vt:variant>
        <vt:lpwstr>http://doi.org/10.23937/2469-5823/1510096</vt:lpwstr>
      </vt:variant>
      <vt:variant>
        <vt:lpwstr/>
      </vt:variant>
      <vt:variant>
        <vt:i4>851999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https://doi.org/10.1007/s11136-017-1735-x</vt:lpwstr>
      </vt:variant>
      <vt:variant>
        <vt:lpwstr/>
      </vt:variant>
      <vt:variant>
        <vt:i4>5242897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https://doi.org/10.22365/jpsych.2019.303.226</vt:lpwstr>
      </vt:variant>
      <vt:variant>
        <vt:lpwstr/>
      </vt:variant>
      <vt:variant>
        <vt:i4>589853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https://doi.org/10.1007/s11136-018-1989-y</vt:lpwstr>
      </vt:variant>
      <vt:variant>
        <vt:lpwstr/>
      </vt:variant>
      <vt:variant>
        <vt:i4>4980827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https://doi.org/10.1111/iwj.13348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https://doi.org/10.3390/medicina55050168</vt:lpwstr>
      </vt:variant>
      <vt:variant>
        <vt:lpwstr/>
      </vt:variant>
      <vt:variant>
        <vt:i4>4915293</vt:i4>
      </vt:variant>
      <vt:variant>
        <vt:i4>45</vt:i4>
      </vt:variant>
      <vt:variant>
        <vt:i4>0</vt:i4>
      </vt:variant>
      <vt:variant>
        <vt:i4>5</vt:i4>
      </vt:variant>
      <vt:variant>
        <vt:lpwstr>https://doi.org/10.4081/hpr.2020.8234</vt:lpwstr>
      </vt:variant>
      <vt:variant>
        <vt:lpwstr/>
      </vt:variant>
      <vt:variant>
        <vt:i4>7471192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https://doi.org/10.1007/978-3-030-78771-4_25</vt:lpwstr>
      </vt:variant>
      <vt:variant>
        <vt:lpwstr/>
      </vt:variant>
      <vt:variant>
        <vt:i4>4653162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https://doi.org/10.1007/978-3-030-78771-4_8</vt:lpwstr>
      </vt:variant>
      <vt:variant>
        <vt:lpwstr/>
      </vt:variant>
      <vt:variant>
        <vt:i4>6422577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https://doi.org/10.1007/s10943-020-01153-x</vt:lpwstr>
      </vt:variant>
      <vt:variant>
        <vt:lpwstr/>
      </vt:variant>
      <vt:variant>
        <vt:i4>4653162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https://doi.org/10.1007/978-3-030-78771-4_6</vt:lpwstr>
      </vt:variant>
      <vt:variant>
        <vt:lpwstr/>
      </vt:variant>
      <vt:variant>
        <vt:i4>4653162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https://doi.org/10.1007/978-3-030-78771-4_3</vt:lpwstr>
      </vt:variant>
      <vt:variant>
        <vt:lpwstr/>
      </vt:variant>
      <vt:variant>
        <vt:i4>4522003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https://doi.org/10.7759/cureus.15186</vt:lpwstr>
      </vt:variant>
      <vt:variant>
        <vt:lpwstr/>
      </vt:variant>
      <vt:variant>
        <vt:i4>5439576</vt:i4>
      </vt:variant>
      <vt:variant>
        <vt:i4>24</vt:i4>
      </vt:variant>
      <vt:variant>
        <vt:i4>0</vt:i4>
      </vt:variant>
      <vt:variant>
        <vt:i4>5</vt:i4>
      </vt:variant>
      <vt:variant>
        <vt:lpwstr>https://doi.org/10.5455/msm.2021.33.34-40</vt:lpwstr>
      </vt:variant>
      <vt:variant>
        <vt:lpwstr/>
      </vt:variant>
      <vt:variant>
        <vt:i4>4653072</vt:i4>
      </vt:variant>
      <vt:variant>
        <vt:i4>21</vt:i4>
      </vt:variant>
      <vt:variant>
        <vt:i4>0</vt:i4>
      </vt:variant>
      <vt:variant>
        <vt:i4>5</vt:i4>
      </vt:variant>
      <vt:variant>
        <vt:lpwstr>https://doi.org/10.7759/cureus.19174</vt:lpwstr>
      </vt:variant>
      <vt:variant>
        <vt:lpwstr/>
      </vt:variant>
      <vt:variant>
        <vt:i4>8257624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https://doi.org/10.1007/978-3-030-78771-4_29</vt:lpwstr>
      </vt:variant>
      <vt:variant>
        <vt:lpwstr/>
      </vt:variant>
      <vt:variant>
        <vt:i4>6357027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https://pubmed.ncbi.nlm.nih.gov/?term=alikari+victoria</vt:lpwstr>
      </vt:variant>
      <vt:variant>
        <vt:lpwstr/>
      </vt:variant>
      <vt:variant>
        <vt:i4>5636115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https://orcid.org/0000-0003-1733-6208</vt:lpwstr>
      </vt:variant>
      <vt:variant>
        <vt:lpwstr/>
      </vt:variant>
      <vt:variant>
        <vt:i4>589847</vt:i4>
      </vt:variant>
      <vt:variant>
        <vt:i4>9</vt:i4>
      </vt:variant>
      <vt:variant>
        <vt:i4>0</vt:i4>
      </vt:variant>
      <vt:variant>
        <vt:i4>5</vt:i4>
      </vt:variant>
      <vt:variant>
        <vt:lpwstr>https://publons.com/researcher/4473688/victoria-alikari/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https://scholar.google.com/citations?user=85Ax1ckAAAAJ&amp;hl=El</vt:lpwstr>
      </vt:variant>
      <vt:variant>
        <vt:lpwstr/>
      </vt:variant>
      <vt:variant>
        <vt:i4>3735661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https://www.researchgate.net/profile/Victoria-Alikari-2</vt:lpwstr>
      </vt:variant>
      <vt:variant>
        <vt:lpwstr/>
      </vt:variant>
      <vt:variant>
        <vt:i4>458809</vt:i4>
      </vt:variant>
      <vt:variant>
        <vt:i4>0</vt:i4>
      </vt:variant>
      <vt:variant>
        <vt:i4>0</vt:i4>
      </vt:variant>
      <vt:variant>
        <vt:i4>5</vt:i4>
      </vt:variant>
      <vt:variant>
        <vt:lpwstr>mailto:vicalikari@uniwa.gr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ΣΥΝΟΠΤΙΚΟ ΒΙΟΓΡΑΦΙΚΟ</dc:title>
  <dc:subject/>
  <dc:creator>FIFI</dc:creator>
  <cp:keywords/>
  <cp:lastModifiedBy>ΒΙΚΤΩΡΙΑ ΑΛΙΚΑΡΗ</cp:lastModifiedBy>
  <cp:revision>2</cp:revision>
  <cp:lastPrinted>2024-03-02T12:32:00Z</cp:lastPrinted>
  <dcterms:created xsi:type="dcterms:W3CDTF">2024-03-02T12:33:00Z</dcterms:created>
  <dcterms:modified xsi:type="dcterms:W3CDTF">2024-03-02T12:33:00Z</dcterms:modified>
</cp:coreProperties>
</file>